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9E8D" w14:textId="77777777" w:rsidR="003A5039" w:rsidRDefault="00F5422D" w:rsidP="00237B2B">
      <w:pPr>
        <w:pStyle w:val="Comment"/>
      </w:pPr>
      <w:r>
        <w:t>Use this form to tell us important information about this document, then start the text on the following page. All information you give in this form will appear in the document, or affect the way it is handled online</w:t>
      </w:r>
    </w:p>
    <w:tbl>
      <w:tblPr>
        <w:tblW w:w="0" w:type="auto"/>
        <w:tblLook w:val="0020" w:firstRow="1" w:lastRow="0" w:firstColumn="0" w:lastColumn="0" w:noHBand="0" w:noVBand="0"/>
      </w:tblPr>
      <w:tblGrid>
        <w:gridCol w:w="1748"/>
        <w:gridCol w:w="733"/>
        <w:gridCol w:w="2897"/>
      </w:tblGrid>
      <w:tr w:rsidR="00A45F16" w14:paraId="1662DC01" w14:textId="77777777" w:rsidTr="008833CA">
        <w:trPr>
          <w:cantSplit/>
          <w:trHeight w:val="432"/>
        </w:trPr>
        <w:tc>
          <w:tcPr>
            <w:tcW w:w="0" w:type="auto"/>
            <w:gridSpan w:val="3"/>
            <w:tcBorders>
              <w:bottom w:val="single" w:sz="12" w:space="0" w:color="990000"/>
            </w:tcBorders>
            <w:shd w:val="clear" w:color="auto" w:fill="E6E6E6"/>
            <w:vAlign w:val="center"/>
          </w:tcPr>
          <w:p w14:paraId="0F0037A1" w14:textId="77777777" w:rsidR="003A5039" w:rsidRDefault="00F5422D" w:rsidP="00237B2B">
            <w:pPr>
              <w:spacing w:after="0"/>
              <w:rPr>
                <w:rFonts w:cs="Calibri"/>
                <w:b/>
              </w:rPr>
            </w:pPr>
            <w:r w:rsidRPr="004F15BE">
              <w:rPr>
                <w:rFonts w:ascii="Calibri" w:hAnsi="Calibri" w:cs="Calibri"/>
                <w:b/>
              </w:rPr>
              <w:t>Document Information</w:t>
            </w:r>
          </w:p>
        </w:tc>
      </w:tr>
      <w:tr w:rsidR="00855A1E" w14:paraId="2BF7098F" w14:textId="77777777" w:rsidTr="008833CA">
        <w:trPr>
          <w:trHeight w:val="288"/>
        </w:trPr>
        <w:tc>
          <w:tcPr>
            <w:tcW w:w="0" w:type="auto"/>
            <w:tcBorders>
              <w:top w:val="single" w:sz="12" w:space="0" w:color="990000"/>
              <w:bottom w:val="single" w:sz="4" w:space="0" w:color="auto"/>
            </w:tcBorders>
            <w:vAlign w:val="bottom"/>
          </w:tcPr>
          <w:p w14:paraId="699ED4E6" w14:textId="77777777" w:rsidR="003A5039" w:rsidRDefault="00F5422D" w:rsidP="00237B2B">
            <w:pPr>
              <w:spacing w:after="0"/>
              <w:rPr>
                <w:rFonts w:cs="Calibri"/>
              </w:rPr>
            </w:pPr>
            <w:r>
              <w:rPr>
                <w:rFonts w:ascii="Calibri" w:hAnsi="Calibri" w:cs="Calibri"/>
              </w:rPr>
              <w:t>Document Type</w:t>
            </w:r>
          </w:p>
        </w:tc>
        <w:tc>
          <w:tcPr>
            <w:tcW w:w="0" w:type="auto"/>
            <w:tcBorders>
              <w:top w:val="single" w:sz="12" w:space="0" w:color="990000"/>
              <w:bottom w:val="single" w:sz="4" w:space="0" w:color="auto"/>
            </w:tcBorders>
            <w:vAlign w:val="bottom"/>
          </w:tcPr>
          <w:p w14:paraId="0D5A60C9" w14:textId="77777777" w:rsidR="003A5039" w:rsidRDefault="00F5422D" w:rsidP="00237B2B">
            <w:pPr>
              <w:spacing w:after="0"/>
              <w:rPr>
                <w:rFonts w:cs="Calibri"/>
              </w:rPr>
            </w:pPr>
            <w:r>
              <w:rPr>
                <w:rFonts w:ascii="Calibri" w:hAnsi="Calibri" w:cs="Calibri"/>
              </w:rPr>
              <w:t>Label</w:t>
            </w:r>
          </w:p>
        </w:tc>
        <w:tc>
          <w:tcPr>
            <w:tcW w:w="0" w:type="auto"/>
            <w:tcBorders>
              <w:top w:val="single" w:sz="12" w:space="0" w:color="990000"/>
              <w:bottom w:val="single" w:sz="4" w:space="0" w:color="auto"/>
            </w:tcBorders>
            <w:tcMar>
              <w:top w:w="0" w:type="dxa"/>
              <w:left w:w="58" w:type="dxa"/>
              <w:bottom w:w="29" w:type="dxa"/>
              <w:right w:w="115" w:type="dxa"/>
            </w:tcMar>
            <w:vAlign w:val="bottom"/>
          </w:tcPr>
          <w:p w14:paraId="5F3FC1B4" w14:textId="77777777" w:rsidR="003A5039" w:rsidRDefault="00F5422D" w:rsidP="00237B2B">
            <w:pPr>
              <w:spacing w:after="0"/>
              <w:rPr>
                <w:rFonts w:cs="Calibri"/>
              </w:rPr>
            </w:pPr>
            <w:r>
              <w:rPr>
                <w:rFonts w:ascii="Calibri" w:hAnsi="Calibri" w:cs="Calibri"/>
              </w:rPr>
              <w:t>Updated (YYYY-MM-DD)</w:t>
            </w:r>
          </w:p>
        </w:tc>
      </w:tr>
      <w:tr w:rsidR="00336AF3" w14:paraId="4CD28696" w14:textId="77777777">
        <w:trPr>
          <w:trHeight w:val="288"/>
        </w:trPr>
        <w:tc>
          <w:tcPr>
            <w:tcW w:w="0" w:type="auto"/>
            <w:tcBorders>
              <w:top w:val="single" w:sz="4" w:space="0" w:color="auto"/>
              <w:bottom w:val="single" w:sz="4" w:space="0" w:color="auto"/>
            </w:tcBorders>
            <w:vAlign w:val="bottom"/>
          </w:tcPr>
          <w:p w14:paraId="3F366D65" w14:textId="77777777" w:rsidR="003A5039" w:rsidRDefault="00F5422D" w:rsidP="00237B2B">
            <w:pPr>
              <w:spacing w:after="0"/>
              <w:rPr>
                <w:sz w:val="20"/>
              </w:rPr>
            </w:pPr>
            <w:r>
              <w:t>chapter</w:t>
            </w:r>
          </w:p>
        </w:tc>
        <w:tc>
          <w:tcPr>
            <w:tcW w:w="0" w:type="auto"/>
            <w:tcBorders>
              <w:top w:val="single" w:sz="4" w:space="0" w:color="auto"/>
              <w:bottom w:val="single" w:sz="4" w:space="0" w:color="auto"/>
            </w:tcBorders>
            <w:vAlign w:val="bottom"/>
          </w:tcPr>
          <w:p w14:paraId="260F893E" w14:textId="77777777" w:rsidR="003A5039" w:rsidRPr="00773856" w:rsidRDefault="003A5039" w:rsidP="00237B2B">
            <w:pPr>
              <w:spacing w:after="0"/>
              <w:rPr>
                <w:sz w:val="20"/>
              </w:rPr>
            </w:pPr>
          </w:p>
        </w:tc>
        <w:tc>
          <w:tcPr>
            <w:tcW w:w="2897" w:type="dxa"/>
            <w:tcBorders>
              <w:top w:val="single" w:sz="4" w:space="0" w:color="auto"/>
              <w:bottom w:val="single" w:sz="4" w:space="0" w:color="auto"/>
            </w:tcBorders>
            <w:tcMar>
              <w:top w:w="58" w:type="dxa"/>
              <w:left w:w="58" w:type="dxa"/>
              <w:bottom w:w="58" w:type="dxa"/>
              <w:right w:w="115" w:type="dxa"/>
            </w:tcMar>
            <w:vAlign w:val="center"/>
          </w:tcPr>
          <w:p w14:paraId="3D10E94A" w14:textId="3D57FE36" w:rsidR="003A5039" w:rsidRPr="00773856" w:rsidRDefault="003A5039" w:rsidP="00237B2B">
            <w:pPr>
              <w:spacing w:after="0"/>
              <w:rPr>
                <w:sz w:val="20"/>
              </w:rPr>
            </w:pPr>
          </w:p>
        </w:tc>
      </w:tr>
    </w:tbl>
    <w:p w14:paraId="43820601" w14:textId="77777777" w:rsidR="004D7185" w:rsidRDefault="00D339A3" w:rsidP="00D339A3">
      <w:pPr>
        <w:pStyle w:val="Comment"/>
      </w:pPr>
      <w:r>
        <w:t>Note: for “Document type,” choose only one of the following: appendix, chapter, dedication, foreword, front-matter-part, glossary, preface, ref-list, or section.</w:t>
      </w:r>
    </w:p>
    <w:p w14:paraId="6E2D2236" w14:textId="77777777" w:rsidR="00336AF3" w:rsidRDefault="00336AF3"/>
    <w:tbl>
      <w:tblPr>
        <w:tblW w:w="0" w:type="auto"/>
        <w:tblLook w:val="0020" w:firstRow="1" w:lastRow="0" w:firstColumn="0" w:lastColumn="0" w:noHBand="0" w:noVBand="0"/>
      </w:tblPr>
      <w:tblGrid>
        <w:gridCol w:w="2880"/>
      </w:tblGrid>
      <w:tr w:rsidR="00336AF3" w14:paraId="43340959" w14:textId="77777777">
        <w:trPr>
          <w:cantSplit/>
          <w:trHeight w:val="432"/>
        </w:trPr>
        <w:tc>
          <w:tcPr>
            <w:tcW w:w="2880" w:type="dxa"/>
            <w:tcBorders>
              <w:bottom w:val="single" w:sz="12" w:space="0" w:color="990000"/>
            </w:tcBorders>
            <w:shd w:val="clear" w:color="auto" w:fill="E6E6E6"/>
            <w:vAlign w:val="center"/>
          </w:tcPr>
          <w:p w14:paraId="54866741" w14:textId="77777777" w:rsidR="003A5039" w:rsidRDefault="00F5422D" w:rsidP="00237B2B">
            <w:pPr>
              <w:spacing w:after="0"/>
              <w:rPr>
                <w:rFonts w:cs="Calibri"/>
                <w:b/>
              </w:rPr>
            </w:pPr>
            <w:r>
              <w:rPr>
                <w:rFonts w:ascii="Calibri" w:hAnsi="Calibri" w:cs="Calibri"/>
                <w:b/>
              </w:rPr>
              <w:t>Supplementary Information</w:t>
            </w:r>
          </w:p>
        </w:tc>
      </w:tr>
      <w:tr w:rsidR="00336AF3" w14:paraId="39542BE5" w14:textId="77777777">
        <w:trPr>
          <w:trHeight w:val="288"/>
        </w:trPr>
        <w:tc>
          <w:tcPr>
            <w:tcW w:w="2880" w:type="dxa"/>
            <w:tcBorders>
              <w:top w:val="single" w:sz="12" w:space="0" w:color="990000"/>
              <w:bottom w:val="single" w:sz="4" w:space="0" w:color="auto"/>
            </w:tcBorders>
            <w:tcMar>
              <w:top w:w="0" w:type="dxa"/>
              <w:left w:w="58" w:type="dxa"/>
              <w:bottom w:w="29" w:type="dxa"/>
              <w:right w:w="115" w:type="dxa"/>
            </w:tcMar>
            <w:vAlign w:val="bottom"/>
          </w:tcPr>
          <w:p w14:paraId="3E5761EA" w14:textId="77777777" w:rsidR="003A5039" w:rsidRDefault="00F5422D" w:rsidP="00237B2B">
            <w:pPr>
              <w:spacing w:after="0"/>
              <w:rPr>
                <w:rFonts w:cs="Calibri"/>
              </w:rPr>
            </w:pPr>
            <w:bookmarkStart w:id="0" w:name="_Hlk21015299"/>
            <w:bookmarkStart w:id="1" w:name="_Hlk21015312"/>
            <w:r>
              <w:rPr>
                <w:rFonts w:ascii="Calibri" w:hAnsi="Calibri" w:cs="Calibri"/>
              </w:rPr>
              <w:t>Generate in-page TOC listing</w:t>
            </w:r>
            <w:bookmarkEnd w:id="0"/>
            <w:r>
              <w:rPr>
                <w:rFonts w:ascii="Calibri" w:hAnsi="Calibri" w:cs="Calibri"/>
              </w:rPr>
              <w:t>?(Yes or No)</w:t>
            </w:r>
          </w:p>
        </w:tc>
      </w:tr>
      <w:bookmarkEnd w:id="1"/>
      <w:tr w:rsidR="00336AF3" w14:paraId="35146159" w14:textId="77777777">
        <w:trPr>
          <w:trHeight w:val="288"/>
        </w:trPr>
        <w:tc>
          <w:tcPr>
            <w:tcW w:w="2880" w:type="dxa"/>
            <w:tcBorders>
              <w:top w:val="single" w:sz="4" w:space="0" w:color="auto"/>
              <w:bottom w:val="single" w:sz="4" w:space="0" w:color="auto"/>
            </w:tcBorders>
            <w:tcMar>
              <w:top w:w="0" w:type="dxa"/>
              <w:left w:w="58" w:type="dxa"/>
              <w:bottom w:w="29" w:type="dxa"/>
              <w:right w:w="115" w:type="dxa"/>
            </w:tcMar>
            <w:vAlign w:val="bottom"/>
          </w:tcPr>
          <w:p w14:paraId="6D24BA85" w14:textId="77777777" w:rsidR="003A5039" w:rsidRDefault="00F5422D" w:rsidP="00237B2B">
            <w:pPr>
              <w:spacing w:after="0"/>
              <w:rPr>
                <w:rFonts w:cs="Calibri"/>
              </w:rPr>
            </w:pPr>
            <w:r>
              <w:rPr>
                <w:rFonts w:ascii="Calibri" w:hAnsi="Calibri" w:cs="Calibri"/>
              </w:rPr>
              <w:t>No</w:t>
            </w:r>
          </w:p>
        </w:tc>
      </w:tr>
    </w:tbl>
    <w:p w14:paraId="69E775DC" w14:textId="77777777" w:rsidR="00336AF3" w:rsidRDefault="00336AF3"/>
    <w:p w14:paraId="4B538412" w14:textId="77777777" w:rsidR="00773856" w:rsidRDefault="00773856"/>
    <w:p w14:paraId="41DCFC42" w14:textId="77777777" w:rsidR="00231443" w:rsidRDefault="00231443" w:rsidP="00231443">
      <w:pPr>
        <w:pStyle w:val="Comment"/>
        <w:rPr>
          <w:rFonts w:cstheme="minorHAnsi"/>
        </w:rPr>
      </w:pPr>
      <w:r w:rsidRPr="003D3097">
        <w:rPr>
          <w:rFonts w:cstheme="minorHAnsi"/>
        </w:rPr>
        <w:t>Blank or “Yes” is the default value, indicating these features will apply to the document.</w:t>
      </w:r>
    </w:p>
    <w:tbl>
      <w:tblPr>
        <w:tblW w:w="10224" w:type="dxa"/>
        <w:tblInd w:w="216" w:type="dxa"/>
        <w:tblLayout w:type="fixed"/>
        <w:tblLook w:val="0020" w:firstRow="1" w:lastRow="0" w:firstColumn="0" w:lastColumn="0" w:noHBand="0" w:noVBand="0"/>
      </w:tblPr>
      <w:tblGrid>
        <w:gridCol w:w="954"/>
        <w:gridCol w:w="1080"/>
        <w:gridCol w:w="720"/>
        <w:gridCol w:w="900"/>
        <w:gridCol w:w="2340"/>
        <w:gridCol w:w="1890"/>
        <w:gridCol w:w="468"/>
        <w:gridCol w:w="612"/>
        <w:gridCol w:w="1260"/>
      </w:tblGrid>
      <w:tr w:rsidR="00231443" w:rsidRPr="004C0FCE" w14:paraId="304D4828" w14:textId="77777777" w:rsidTr="00B5668B">
        <w:trPr>
          <w:cantSplit/>
          <w:trHeight w:val="432"/>
        </w:trPr>
        <w:tc>
          <w:tcPr>
            <w:tcW w:w="10224" w:type="dxa"/>
            <w:gridSpan w:val="9"/>
            <w:tcBorders>
              <w:top w:val="nil"/>
              <w:left w:val="nil"/>
              <w:bottom w:val="single" w:sz="12" w:space="0" w:color="990000"/>
              <w:right w:val="nil"/>
            </w:tcBorders>
            <w:shd w:val="clear" w:color="auto" w:fill="E6E6E6"/>
            <w:vAlign w:val="center"/>
          </w:tcPr>
          <w:p w14:paraId="55C63788" w14:textId="77777777" w:rsidR="00231443" w:rsidRPr="004C0FCE" w:rsidRDefault="00231443" w:rsidP="00B5668B">
            <w:pPr>
              <w:spacing w:after="0"/>
              <w:rPr>
                <w:b/>
              </w:rPr>
            </w:pPr>
            <w:bookmarkStart w:id="2" w:name="_Hlk217116696"/>
            <w:r w:rsidRPr="004C0FCE">
              <w:rPr>
                <w:b/>
              </w:rPr>
              <w:t>Author Information</w:t>
            </w:r>
          </w:p>
        </w:tc>
      </w:tr>
      <w:tr w:rsidR="00231443" w:rsidRPr="004C0FCE" w14:paraId="493C102B" w14:textId="77777777" w:rsidTr="00B5668B">
        <w:trPr>
          <w:trHeight w:val="432"/>
        </w:trPr>
        <w:tc>
          <w:tcPr>
            <w:tcW w:w="954" w:type="dxa"/>
            <w:tcBorders>
              <w:top w:val="nil"/>
              <w:left w:val="nil"/>
              <w:bottom w:val="single" w:sz="4" w:space="0" w:color="auto"/>
              <w:right w:val="nil"/>
            </w:tcBorders>
            <w:vAlign w:val="bottom"/>
          </w:tcPr>
          <w:p w14:paraId="1FD5E1A7" w14:textId="77777777" w:rsidR="00231443" w:rsidRPr="00B56E89" w:rsidRDefault="00231443" w:rsidP="00B5668B">
            <w:pPr>
              <w:spacing w:after="0"/>
              <w:rPr>
                <w:sz w:val="20"/>
                <w:szCs w:val="20"/>
              </w:rPr>
            </w:pPr>
            <w:r w:rsidRPr="00B56E89">
              <w:rPr>
                <w:sz w:val="20"/>
                <w:szCs w:val="20"/>
              </w:rPr>
              <w:t>Given Name(s)</w:t>
            </w:r>
          </w:p>
        </w:tc>
        <w:tc>
          <w:tcPr>
            <w:tcW w:w="1080" w:type="dxa"/>
            <w:tcBorders>
              <w:top w:val="nil"/>
              <w:left w:val="nil"/>
              <w:bottom w:val="single" w:sz="4" w:space="0" w:color="auto"/>
              <w:right w:val="nil"/>
            </w:tcBorders>
            <w:vAlign w:val="bottom"/>
          </w:tcPr>
          <w:p w14:paraId="6B3E8334" w14:textId="77777777" w:rsidR="00231443" w:rsidRPr="00B56E89" w:rsidRDefault="00231443" w:rsidP="00B5668B">
            <w:pPr>
              <w:spacing w:after="0"/>
              <w:rPr>
                <w:sz w:val="20"/>
                <w:szCs w:val="20"/>
              </w:rPr>
            </w:pPr>
            <w:r w:rsidRPr="00B56E89">
              <w:rPr>
                <w:sz w:val="20"/>
                <w:szCs w:val="20"/>
              </w:rPr>
              <w:t>Last Name</w:t>
            </w:r>
          </w:p>
        </w:tc>
        <w:tc>
          <w:tcPr>
            <w:tcW w:w="720" w:type="dxa"/>
            <w:tcBorders>
              <w:top w:val="nil"/>
              <w:left w:val="nil"/>
              <w:bottom w:val="single" w:sz="4" w:space="0" w:color="auto"/>
              <w:right w:val="nil"/>
            </w:tcBorders>
            <w:vAlign w:val="bottom"/>
          </w:tcPr>
          <w:p w14:paraId="583C634A" w14:textId="77777777" w:rsidR="00231443" w:rsidRPr="00B56E89" w:rsidRDefault="00231443" w:rsidP="00B5668B">
            <w:pPr>
              <w:spacing w:after="0"/>
              <w:rPr>
                <w:sz w:val="20"/>
                <w:szCs w:val="20"/>
              </w:rPr>
            </w:pPr>
            <w:r w:rsidRPr="00B56E89">
              <w:rPr>
                <w:sz w:val="20"/>
                <w:szCs w:val="20"/>
              </w:rPr>
              <w:t>Suffix</w:t>
            </w:r>
          </w:p>
        </w:tc>
        <w:tc>
          <w:tcPr>
            <w:tcW w:w="900" w:type="dxa"/>
            <w:tcBorders>
              <w:top w:val="nil"/>
              <w:left w:val="nil"/>
              <w:bottom w:val="single" w:sz="4" w:space="0" w:color="auto"/>
              <w:right w:val="nil"/>
            </w:tcBorders>
            <w:vAlign w:val="bottom"/>
          </w:tcPr>
          <w:p w14:paraId="1FBA0266" w14:textId="77777777" w:rsidR="00231443" w:rsidRPr="00B56E89" w:rsidRDefault="00231443" w:rsidP="00B5668B">
            <w:pPr>
              <w:spacing w:after="0"/>
              <w:rPr>
                <w:sz w:val="20"/>
                <w:szCs w:val="20"/>
              </w:rPr>
            </w:pPr>
            <w:r w:rsidRPr="00B56E89">
              <w:rPr>
                <w:sz w:val="20"/>
                <w:szCs w:val="20"/>
              </w:rPr>
              <w:t>Degrees</w:t>
            </w:r>
          </w:p>
        </w:tc>
        <w:tc>
          <w:tcPr>
            <w:tcW w:w="2340" w:type="dxa"/>
            <w:tcBorders>
              <w:top w:val="nil"/>
              <w:left w:val="nil"/>
              <w:bottom w:val="single" w:sz="4" w:space="0" w:color="auto"/>
              <w:right w:val="nil"/>
            </w:tcBorders>
            <w:vAlign w:val="bottom"/>
          </w:tcPr>
          <w:p w14:paraId="3DFAC7D7" w14:textId="77777777" w:rsidR="00231443" w:rsidRPr="00B56E89" w:rsidRDefault="00231443" w:rsidP="00B5668B">
            <w:pPr>
              <w:spacing w:after="0"/>
              <w:rPr>
                <w:sz w:val="20"/>
                <w:szCs w:val="20"/>
              </w:rPr>
            </w:pPr>
            <w:r w:rsidRPr="00B56E89">
              <w:rPr>
                <w:sz w:val="20"/>
                <w:szCs w:val="20"/>
              </w:rPr>
              <w:t>Affiliation</w:t>
            </w:r>
          </w:p>
        </w:tc>
        <w:tc>
          <w:tcPr>
            <w:tcW w:w="1890" w:type="dxa"/>
            <w:tcBorders>
              <w:top w:val="nil"/>
              <w:left w:val="nil"/>
              <w:bottom w:val="single" w:sz="4" w:space="0" w:color="auto"/>
              <w:right w:val="nil"/>
            </w:tcBorders>
            <w:vAlign w:val="bottom"/>
          </w:tcPr>
          <w:p w14:paraId="58D15334" w14:textId="77777777" w:rsidR="00231443" w:rsidRPr="00B56E89" w:rsidRDefault="00231443" w:rsidP="00B5668B">
            <w:pPr>
              <w:spacing w:after="0"/>
              <w:rPr>
                <w:sz w:val="20"/>
                <w:szCs w:val="20"/>
              </w:rPr>
            </w:pPr>
            <w:r w:rsidRPr="00B56E89">
              <w:rPr>
                <w:sz w:val="20"/>
                <w:szCs w:val="20"/>
              </w:rPr>
              <w:t>Email</w:t>
            </w:r>
          </w:p>
        </w:tc>
        <w:tc>
          <w:tcPr>
            <w:tcW w:w="1080" w:type="dxa"/>
            <w:gridSpan w:val="2"/>
            <w:tcBorders>
              <w:top w:val="nil"/>
              <w:left w:val="nil"/>
              <w:bottom w:val="single" w:sz="4" w:space="0" w:color="auto"/>
              <w:right w:val="nil"/>
            </w:tcBorders>
            <w:vAlign w:val="bottom"/>
          </w:tcPr>
          <w:p w14:paraId="7171D265" w14:textId="77777777" w:rsidR="00231443" w:rsidRPr="00B56E89" w:rsidRDefault="00231443" w:rsidP="00B5668B">
            <w:pPr>
              <w:spacing w:after="0"/>
              <w:rPr>
                <w:sz w:val="20"/>
                <w:szCs w:val="20"/>
              </w:rPr>
            </w:pPr>
            <w:r w:rsidRPr="00B56E89">
              <w:rPr>
                <w:sz w:val="20"/>
                <w:szCs w:val="20"/>
              </w:rPr>
              <w:t>Corr. Au. ?</w:t>
            </w:r>
          </w:p>
          <w:p w14:paraId="36A16B19" w14:textId="77777777" w:rsidR="00231443" w:rsidRPr="00B56E89" w:rsidRDefault="00231443" w:rsidP="00B5668B">
            <w:pPr>
              <w:spacing w:after="0"/>
              <w:rPr>
                <w:sz w:val="20"/>
                <w:szCs w:val="20"/>
              </w:rPr>
            </w:pPr>
            <w:r w:rsidRPr="00B56E89">
              <w:rPr>
                <w:sz w:val="20"/>
                <w:szCs w:val="20"/>
              </w:rPr>
              <w:t>(Yes)</w:t>
            </w:r>
          </w:p>
        </w:tc>
        <w:tc>
          <w:tcPr>
            <w:tcW w:w="1260" w:type="dxa"/>
            <w:tcBorders>
              <w:top w:val="nil"/>
              <w:left w:val="nil"/>
              <w:bottom w:val="single" w:sz="4" w:space="0" w:color="auto"/>
              <w:right w:val="nil"/>
            </w:tcBorders>
            <w:vAlign w:val="bottom"/>
          </w:tcPr>
          <w:p w14:paraId="6996620A" w14:textId="77777777" w:rsidR="00231443" w:rsidRPr="00B56E89" w:rsidRDefault="00231443" w:rsidP="00B5668B">
            <w:pPr>
              <w:spacing w:after="0"/>
              <w:rPr>
                <w:sz w:val="20"/>
                <w:szCs w:val="20"/>
              </w:rPr>
            </w:pPr>
            <w:r w:rsidRPr="00B56E89">
              <w:rPr>
                <w:sz w:val="20"/>
                <w:szCs w:val="20"/>
              </w:rPr>
              <w:t>Au. Footnote</w:t>
            </w:r>
          </w:p>
        </w:tc>
      </w:tr>
      <w:tr w:rsidR="00231443" w:rsidRPr="004C0FCE" w14:paraId="340A490B" w14:textId="77777777" w:rsidTr="00B5668B">
        <w:trPr>
          <w:trHeight w:val="432"/>
        </w:trPr>
        <w:tc>
          <w:tcPr>
            <w:tcW w:w="954" w:type="dxa"/>
            <w:tcBorders>
              <w:top w:val="nil"/>
              <w:left w:val="nil"/>
              <w:bottom w:val="single" w:sz="4" w:space="0" w:color="auto"/>
              <w:right w:val="nil"/>
            </w:tcBorders>
            <w:vAlign w:val="center"/>
          </w:tcPr>
          <w:p w14:paraId="20452919" w14:textId="77777777" w:rsidR="00231443" w:rsidRPr="00B56E89" w:rsidRDefault="00231443" w:rsidP="00B5668B">
            <w:pPr>
              <w:spacing w:after="0"/>
              <w:rPr>
                <w:sz w:val="20"/>
                <w:szCs w:val="20"/>
              </w:rPr>
            </w:pPr>
            <w:r w:rsidRPr="00B56E89">
              <w:rPr>
                <w:sz w:val="20"/>
                <w:szCs w:val="20"/>
              </w:rPr>
              <w:t>Jay H.</w:t>
            </w:r>
          </w:p>
        </w:tc>
        <w:tc>
          <w:tcPr>
            <w:tcW w:w="1080" w:type="dxa"/>
            <w:tcBorders>
              <w:top w:val="nil"/>
              <w:left w:val="nil"/>
              <w:bottom w:val="single" w:sz="4" w:space="0" w:color="auto"/>
              <w:right w:val="nil"/>
            </w:tcBorders>
            <w:vAlign w:val="center"/>
          </w:tcPr>
          <w:p w14:paraId="18467801" w14:textId="77777777" w:rsidR="00231443" w:rsidRPr="00B56E89" w:rsidRDefault="00231443" w:rsidP="00B5668B">
            <w:pPr>
              <w:spacing w:after="0"/>
              <w:rPr>
                <w:sz w:val="20"/>
                <w:szCs w:val="20"/>
              </w:rPr>
            </w:pPr>
            <w:r w:rsidRPr="00B56E89">
              <w:rPr>
                <w:sz w:val="20"/>
                <w:szCs w:val="20"/>
              </w:rPr>
              <w:t>Hoofnagle</w:t>
            </w:r>
          </w:p>
        </w:tc>
        <w:tc>
          <w:tcPr>
            <w:tcW w:w="720" w:type="dxa"/>
            <w:tcBorders>
              <w:top w:val="nil"/>
              <w:left w:val="nil"/>
              <w:bottom w:val="single" w:sz="4" w:space="0" w:color="auto"/>
              <w:right w:val="nil"/>
            </w:tcBorders>
            <w:vAlign w:val="center"/>
          </w:tcPr>
          <w:p w14:paraId="6276829F" w14:textId="77777777" w:rsidR="00231443" w:rsidRPr="00B56E89" w:rsidRDefault="00231443" w:rsidP="00B5668B">
            <w:pPr>
              <w:spacing w:after="0"/>
              <w:rPr>
                <w:sz w:val="20"/>
                <w:szCs w:val="20"/>
              </w:rPr>
            </w:pPr>
          </w:p>
        </w:tc>
        <w:tc>
          <w:tcPr>
            <w:tcW w:w="900" w:type="dxa"/>
            <w:tcBorders>
              <w:top w:val="nil"/>
              <w:left w:val="nil"/>
              <w:bottom w:val="single" w:sz="4" w:space="0" w:color="auto"/>
              <w:right w:val="nil"/>
            </w:tcBorders>
            <w:vAlign w:val="center"/>
          </w:tcPr>
          <w:p w14:paraId="777DF9CE" w14:textId="77777777" w:rsidR="00231443" w:rsidRPr="00B56E89" w:rsidRDefault="00231443" w:rsidP="00B5668B">
            <w:pPr>
              <w:spacing w:after="0"/>
              <w:rPr>
                <w:sz w:val="20"/>
                <w:szCs w:val="20"/>
              </w:rPr>
            </w:pPr>
            <w:r w:rsidRPr="00B56E89">
              <w:rPr>
                <w:sz w:val="20"/>
                <w:szCs w:val="20"/>
              </w:rPr>
              <w:t>MD</w:t>
            </w:r>
          </w:p>
        </w:tc>
        <w:tc>
          <w:tcPr>
            <w:tcW w:w="2340" w:type="dxa"/>
            <w:tcBorders>
              <w:top w:val="nil"/>
              <w:left w:val="nil"/>
              <w:bottom w:val="single" w:sz="4" w:space="0" w:color="auto"/>
              <w:right w:val="nil"/>
            </w:tcBorders>
            <w:vAlign w:val="center"/>
          </w:tcPr>
          <w:p w14:paraId="36E55131" w14:textId="77777777" w:rsidR="00231443" w:rsidRPr="00B56E89" w:rsidRDefault="00231443" w:rsidP="00B5668B">
            <w:pPr>
              <w:spacing w:after="0"/>
              <w:rPr>
                <w:sz w:val="20"/>
                <w:szCs w:val="20"/>
              </w:rPr>
            </w:pPr>
            <w:r w:rsidRPr="00B56E89">
              <w:rPr>
                <w:sz w:val="20"/>
                <w:szCs w:val="20"/>
              </w:rPr>
              <w:t>Liver Disease Branch, NIDDK, NIH</w:t>
            </w:r>
          </w:p>
        </w:tc>
        <w:tc>
          <w:tcPr>
            <w:tcW w:w="1890" w:type="dxa"/>
            <w:tcBorders>
              <w:top w:val="nil"/>
              <w:left w:val="nil"/>
              <w:bottom w:val="single" w:sz="4" w:space="0" w:color="auto"/>
              <w:right w:val="nil"/>
            </w:tcBorders>
            <w:vAlign w:val="center"/>
          </w:tcPr>
          <w:p w14:paraId="16689A4C" w14:textId="77777777" w:rsidR="00231443" w:rsidRPr="00B56E89" w:rsidRDefault="00231443" w:rsidP="00B5668B">
            <w:pPr>
              <w:spacing w:after="0"/>
              <w:rPr>
                <w:sz w:val="20"/>
                <w:szCs w:val="20"/>
              </w:rPr>
            </w:pPr>
          </w:p>
        </w:tc>
        <w:tc>
          <w:tcPr>
            <w:tcW w:w="468" w:type="dxa"/>
            <w:tcBorders>
              <w:top w:val="nil"/>
              <w:left w:val="nil"/>
              <w:bottom w:val="single" w:sz="4" w:space="0" w:color="auto"/>
              <w:right w:val="nil"/>
            </w:tcBorders>
            <w:vAlign w:val="center"/>
          </w:tcPr>
          <w:p w14:paraId="45F412C0" w14:textId="77777777" w:rsidR="00231443" w:rsidRPr="00B56E89" w:rsidRDefault="00231443" w:rsidP="00B5668B">
            <w:pPr>
              <w:spacing w:after="0"/>
              <w:rPr>
                <w:sz w:val="20"/>
                <w:szCs w:val="20"/>
              </w:rPr>
            </w:pPr>
          </w:p>
        </w:tc>
        <w:tc>
          <w:tcPr>
            <w:tcW w:w="1872" w:type="dxa"/>
            <w:gridSpan w:val="2"/>
            <w:tcBorders>
              <w:top w:val="nil"/>
              <w:left w:val="nil"/>
              <w:bottom w:val="single" w:sz="4" w:space="0" w:color="auto"/>
              <w:right w:val="nil"/>
            </w:tcBorders>
            <w:vAlign w:val="center"/>
          </w:tcPr>
          <w:p w14:paraId="3F8031FB" w14:textId="77777777" w:rsidR="00231443" w:rsidRPr="00B56E89" w:rsidRDefault="00231443" w:rsidP="00B5668B">
            <w:pPr>
              <w:spacing w:after="0"/>
              <w:rPr>
                <w:sz w:val="20"/>
                <w:szCs w:val="20"/>
              </w:rPr>
            </w:pPr>
          </w:p>
        </w:tc>
      </w:tr>
      <w:tr w:rsidR="00231443" w:rsidRPr="004C0FCE" w14:paraId="1B1B8DA8" w14:textId="77777777" w:rsidTr="00B5668B">
        <w:trPr>
          <w:trHeight w:val="432"/>
        </w:trPr>
        <w:tc>
          <w:tcPr>
            <w:tcW w:w="954" w:type="dxa"/>
            <w:tcBorders>
              <w:top w:val="nil"/>
              <w:left w:val="nil"/>
              <w:bottom w:val="single" w:sz="4" w:space="0" w:color="auto"/>
              <w:right w:val="nil"/>
            </w:tcBorders>
            <w:vAlign w:val="center"/>
          </w:tcPr>
          <w:p w14:paraId="09A10331" w14:textId="77777777" w:rsidR="00231443" w:rsidRPr="004C0FCE" w:rsidRDefault="00231443" w:rsidP="00B5668B">
            <w:pPr>
              <w:spacing w:after="0"/>
            </w:pPr>
          </w:p>
        </w:tc>
        <w:tc>
          <w:tcPr>
            <w:tcW w:w="1080" w:type="dxa"/>
            <w:tcBorders>
              <w:top w:val="nil"/>
              <w:left w:val="nil"/>
              <w:bottom w:val="single" w:sz="4" w:space="0" w:color="auto"/>
              <w:right w:val="nil"/>
            </w:tcBorders>
            <w:vAlign w:val="center"/>
          </w:tcPr>
          <w:p w14:paraId="01041A43" w14:textId="77777777" w:rsidR="00231443" w:rsidRPr="004C0FCE" w:rsidRDefault="00231443" w:rsidP="00B5668B">
            <w:pPr>
              <w:spacing w:after="0"/>
            </w:pPr>
          </w:p>
        </w:tc>
        <w:tc>
          <w:tcPr>
            <w:tcW w:w="720" w:type="dxa"/>
            <w:tcBorders>
              <w:top w:val="nil"/>
              <w:left w:val="nil"/>
              <w:bottom w:val="single" w:sz="4" w:space="0" w:color="auto"/>
              <w:right w:val="nil"/>
            </w:tcBorders>
            <w:vAlign w:val="center"/>
          </w:tcPr>
          <w:p w14:paraId="15703D4E" w14:textId="77777777" w:rsidR="00231443" w:rsidRPr="004C0FCE" w:rsidRDefault="00231443" w:rsidP="00B5668B">
            <w:pPr>
              <w:spacing w:after="0"/>
            </w:pPr>
          </w:p>
        </w:tc>
        <w:tc>
          <w:tcPr>
            <w:tcW w:w="900" w:type="dxa"/>
            <w:tcBorders>
              <w:top w:val="nil"/>
              <w:left w:val="nil"/>
              <w:bottom w:val="single" w:sz="4" w:space="0" w:color="auto"/>
              <w:right w:val="nil"/>
            </w:tcBorders>
            <w:vAlign w:val="center"/>
          </w:tcPr>
          <w:p w14:paraId="0DEC9F53" w14:textId="77777777" w:rsidR="00231443" w:rsidRPr="004C0FCE" w:rsidRDefault="00231443" w:rsidP="00B5668B">
            <w:pPr>
              <w:spacing w:after="0"/>
            </w:pPr>
          </w:p>
        </w:tc>
        <w:tc>
          <w:tcPr>
            <w:tcW w:w="2340" w:type="dxa"/>
            <w:tcBorders>
              <w:top w:val="nil"/>
              <w:left w:val="nil"/>
              <w:bottom w:val="single" w:sz="4" w:space="0" w:color="auto"/>
              <w:right w:val="nil"/>
            </w:tcBorders>
            <w:vAlign w:val="center"/>
          </w:tcPr>
          <w:p w14:paraId="49A8E4CB" w14:textId="77777777" w:rsidR="00231443" w:rsidRPr="004C0FCE" w:rsidRDefault="00231443" w:rsidP="00B5668B">
            <w:pPr>
              <w:spacing w:after="0"/>
            </w:pPr>
          </w:p>
        </w:tc>
        <w:tc>
          <w:tcPr>
            <w:tcW w:w="1890" w:type="dxa"/>
            <w:tcBorders>
              <w:top w:val="nil"/>
              <w:left w:val="nil"/>
              <w:bottom w:val="single" w:sz="4" w:space="0" w:color="auto"/>
              <w:right w:val="nil"/>
            </w:tcBorders>
            <w:vAlign w:val="center"/>
          </w:tcPr>
          <w:p w14:paraId="6F5E1353" w14:textId="77777777" w:rsidR="00231443" w:rsidRPr="004C0FCE" w:rsidRDefault="00231443" w:rsidP="00B5668B">
            <w:pPr>
              <w:spacing w:after="0"/>
            </w:pPr>
          </w:p>
        </w:tc>
        <w:tc>
          <w:tcPr>
            <w:tcW w:w="468" w:type="dxa"/>
            <w:tcBorders>
              <w:top w:val="nil"/>
              <w:left w:val="nil"/>
              <w:bottom w:val="single" w:sz="4" w:space="0" w:color="auto"/>
              <w:right w:val="nil"/>
            </w:tcBorders>
            <w:vAlign w:val="center"/>
          </w:tcPr>
          <w:p w14:paraId="07185BEE" w14:textId="77777777" w:rsidR="00231443" w:rsidRPr="004C0FCE" w:rsidRDefault="00231443" w:rsidP="00B5668B">
            <w:pPr>
              <w:spacing w:after="0"/>
            </w:pPr>
          </w:p>
        </w:tc>
        <w:tc>
          <w:tcPr>
            <w:tcW w:w="1872" w:type="dxa"/>
            <w:gridSpan w:val="2"/>
            <w:tcBorders>
              <w:top w:val="nil"/>
              <w:left w:val="nil"/>
              <w:bottom w:val="single" w:sz="4" w:space="0" w:color="auto"/>
              <w:right w:val="nil"/>
            </w:tcBorders>
            <w:vAlign w:val="center"/>
          </w:tcPr>
          <w:p w14:paraId="4C8B67D7" w14:textId="77777777" w:rsidR="00231443" w:rsidRPr="004C0FCE" w:rsidRDefault="00231443" w:rsidP="00B5668B">
            <w:pPr>
              <w:spacing w:after="0"/>
            </w:pPr>
          </w:p>
        </w:tc>
      </w:tr>
      <w:tr w:rsidR="00231443" w:rsidRPr="004C0FCE" w14:paraId="377D67C4" w14:textId="77777777" w:rsidTr="00B5668B">
        <w:trPr>
          <w:trHeight w:val="432"/>
        </w:trPr>
        <w:tc>
          <w:tcPr>
            <w:tcW w:w="954" w:type="dxa"/>
            <w:tcBorders>
              <w:top w:val="single" w:sz="4" w:space="0" w:color="auto"/>
              <w:left w:val="nil"/>
              <w:bottom w:val="single" w:sz="4" w:space="0" w:color="auto"/>
              <w:right w:val="nil"/>
            </w:tcBorders>
            <w:vAlign w:val="center"/>
          </w:tcPr>
          <w:p w14:paraId="0B1624C0" w14:textId="77777777" w:rsidR="00231443" w:rsidRPr="004C0FCE" w:rsidRDefault="00231443" w:rsidP="00B5668B">
            <w:pPr>
              <w:spacing w:after="0"/>
            </w:pPr>
          </w:p>
        </w:tc>
        <w:tc>
          <w:tcPr>
            <w:tcW w:w="1080" w:type="dxa"/>
            <w:tcBorders>
              <w:top w:val="single" w:sz="4" w:space="0" w:color="auto"/>
              <w:left w:val="nil"/>
              <w:bottom w:val="single" w:sz="4" w:space="0" w:color="auto"/>
              <w:right w:val="nil"/>
            </w:tcBorders>
            <w:vAlign w:val="center"/>
          </w:tcPr>
          <w:p w14:paraId="6B8C8E7F" w14:textId="77777777" w:rsidR="00231443" w:rsidRPr="004C0FCE" w:rsidRDefault="00231443" w:rsidP="00B5668B">
            <w:pPr>
              <w:spacing w:after="0"/>
            </w:pPr>
          </w:p>
        </w:tc>
        <w:tc>
          <w:tcPr>
            <w:tcW w:w="720" w:type="dxa"/>
            <w:tcBorders>
              <w:top w:val="single" w:sz="4" w:space="0" w:color="auto"/>
              <w:left w:val="nil"/>
              <w:bottom w:val="single" w:sz="4" w:space="0" w:color="auto"/>
              <w:right w:val="nil"/>
            </w:tcBorders>
            <w:vAlign w:val="center"/>
          </w:tcPr>
          <w:p w14:paraId="0A43998C" w14:textId="77777777" w:rsidR="00231443" w:rsidRPr="004C0FCE" w:rsidRDefault="00231443" w:rsidP="00B5668B">
            <w:pPr>
              <w:spacing w:after="0"/>
            </w:pPr>
          </w:p>
        </w:tc>
        <w:tc>
          <w:tcPr>
            <w:tcW w:w="900" w:type="dxa"/>
            <w:tcBorders>
              <w:top w:val="single" w:sz="4" w:space="0" w:color="auto"/>
              <w:left w:val="nil"/>
              <w:bottom w:val="single" w:sz="4" w:space="0" w:color="auto"/>
              <w:right w:val="nil"/>
            </w:tcBorders>
            <w:vAlign w:val="center"/>
          </w:tcPr>
          <w:p w14:paraId="5E6649A1" w14:textId="77777777" w:rsidR="00231443" w:rsidRPr="004C0FCE" w:rsidRDefault="00231443" w:rsidP="00B5668B">
            <w:pPr>
              <w:spacing w:after="0"/>
            </w:pPr>
          </w:p>
        </w:tc>
        <w:tc>
          <w:tcPr>
            <w:tcW w:w="2340" w:type="dxa"/>
            <w:tcBorders>
              <w:top w:val="single" w:sz="4" w:space="0" w:color="auto"/>
              <w:left w:val="nil"/>
              <w:bottom w:val="single" w:sz="4" w:space="0" w:color="auto"/>
              <w:right w:val="nil"/>
            </w:tcBorders>
            <w:vAlign w:val="center"/>
          </w:tcPr>
          <w:p w14:paraId="1523810E" w14:textId="77777777" w:rsidR="00231443" w:rsidRPr="004C0FCE" w:rsidRDefault="00231443" w:rsidP="00B5668B">
            <w:pPr>
              <w:spacing w:after="0"/>
            </w:pPr>
          </w:p>
        </w:tc>
        <w:tc>
          <w:tcPr>
            <w:tcW w:w="1890" w:type="dxa"/>
            <w:tcBorders>
              <w:top w:val="single" w:sz="4" w:space="0" w:color="auto"/>
              <w:left w:val="nil"/>
              <w:bottom w:val="single" w:sz="4" w:space="0" w:color="auto"/>
              <w:right w:val="nil"/>
            </w:tcBorders>
            <w:vAlign w:val="center"/>
          </w:tcPr>
          <w:p w14:paraId="0E1AA837" w14:textId="77777777" w:rsidR="00231443" w:rsidRPr="004C0FCE" w:rsidRDefault="00231443" w:rsidP="00B5668B">
            <w:pPr>
              <w:spacing w:after="0"/>
            </w:pPr>
          </w:p>
        </w:tc>
        <w:tc>
          <w:tcPr>
            <w:tcW w:w="468" w:type="dxa"/>
            <w:tcBorders>
              <w:top w:val="single" w:sz="4" w:space="0" w:color="auto"/>
              <w:left w:val="nil"/>
              <w:bottom w:val="single" w:sz="4" w:space="0" w:color="auto"/>
              <w:right w:val="nil"/>
            </w:tcBorders>
            <w:vAlign w:val="center"/>
          </w:tcPr>
          <w:p w14:paraId="2FB40D50" w14:textId="77777777" w:rsidR="00231443" w:rsidRPr="004C0FCE" w:rsidRDefault="00231443" w:rsidP="00B5668B">
            <w:pPr>
              <w:spacing w:after="0"/>
            </w:pPr>
          </w:p>
        </w:tc>
        <w:tc>
          <w:tcPr>
            <w:tcW w:w="1872" w:type="dxa"/>
            <w:gridSpan w:val="2"/>
            <w:tcBorders>
              <w:top w:val="single" w:sz="4" w:space="0" w:color="auto"/>
              <w:left w:val="nil"/>
              <w:bottom w:val="single" w:sz="4" w:space="0" w:color="auto"/>
              <w:right w:val="nil"/>
            </w:tcBorders>
            <w:vAlign w:val="center"/>
          </w:tcPr>
          <w:p w14:paraId="296F8CE8" w14:textId="77777777" w:rsidR="00231443" w:rsidRPr="004C0FCE" w:rsidRDefault="00231443" w:rsidP="00B5668B">
            <w:pPr>
              <w:spacing w:after="0"/>
            </w:pPr>
          </w:p>
        </w:tc>
      </w:tr>
    </w:tbl>
    <w:p w14:paraId="6102889E" w14:textId="77777777" w:rsidR="00231443" w:rsidRPr="00094C78" w:rsidRDefault="00231443" w:rsidP="00231443">
      <w:pPr>
        <w:shd w:val="clear" w:color="auto" w:fill="FFFF00"/>
        <w:spacing w:before="120"/>
      </w:pPr>
      <w:bookmarkStart w:id="3" w:name="_Hlk223511915"/>
      <w:bookmarkEnd w:id="2"/>
      <w:r w:rsidRPr="00094C78">
        <w:t>Use one row for each author. List authors in order of appearance in the document. Add rows to add more authors. For institutional author, enter the name of the institution in the Given Name(s) column.</w:t>
      </w:r>
    </w:p>
    <w:bookmarkEnd w:id="3"/>
    <w:p w14:paraId="1FDEBBBD" w14:textId="77777777" w:rsidR="003A5039" w:rsidRDefault="003A5039" w:rsidP="00237B2B">
      <w:pPr>
        <w:sectPr w:rsidR="003A5039">
          <w:type w:val="continuous"/>
          <w:pgSz w:w="12240" w:h="15840" w:code="1"/>
          <w:pgMar w:top="1080" w:right="1080" w:bottom="1080" w:left="1080" w:header="0" w:footer="0" w:gutter="0"/>
          <w:cols w:space="720"/>
          <w:docGrid w:linePitch="326"/>
        </w:sectPr>
      </w:pPr>
    </w:p>
    <w:p w14:paraId="3ED5150E" w14:textId="77777777" w:rsidR="003A5039" w:rsidRDefault="00F5422D" w:rsidP="00237B2B">
      <w:pPr>
        <w:pStyle w:val="Heading1"/>
      </w:pPr>
      <w:bookmarkStart w:id="4" w:name="Olaparib"/>
      <w:r>
        <w:lastRenderedPageBreak/>
        <w:t>Olaparib</w:t>
      </w:r>
      <w:bookmarkEnd w:id="4"/>
    </w:p>
    <w:p w14:paraId="0F959A4C" w14:textId="77777777" w:rsidR="003A5039" w:rsidRDefault="003A5039" w:rsidP="00237B2B">
      <w:pPr>
        <w:pStyle w:val="Alternateheading"/>
      </w:pPr>
    </w:p>
    <w:p w14:paraId="794D11C6" w14:textId="2E1D9D77" w:rsidR="00336AF3" w:rsidRDefault="0063638C">
      <w:r>
        <w:t xml:space="preserve">  </w:t>
      </w:r>
    </w:p>
    <w:p w14:paraId="1CAFD3AA" w14:textId="77777777" w:rsidR="003A5039" w:rsidRDefault="00F5422D" w:rsidP="00237B2B">
      <w:pPr>
        <w:pStyle w:val="Heading2"/>
      </w:pPr>
      <w:bookmarkStart w:id="5" w:name="Olaparib.OVERVIEW"/>
      <w:r>
        <w:t>OVERVIEW</w:t>
      </w:r>
      <w:bookmarkEnd w:id="5"/>
    </w:p>
    <w:p w14:paraId="2057E89E" w14:textId="77777777" w:rsidR="003A5039" w:rsidRDefault="00F5422D" w:rsidP="00237B2B">
      <w:pPr>
        <w:pStyle w:val="Heading3"/>
      </w:pPr>
      <w:bookmarkStart w:id="6" w:name="Olaparib.Introduction"/>
      <w:r>
        <w:t>Introduction</w:t>
      </w:r>
      <w:bookmarkEnd w:id="6"/>
    </w:p>
    <w:p w14:paraId="6783B04A" w14:textId="77777777" w:rsidR="0054520A" w:rsidRPr="00EE6350" w:rsidRDefault="00442B3D" w:rsidP="00EE6350">
      <w:pPr>
        <w:pStyle w:val="Processinginstruction"/>
      </w:pPr>
      <w:r>
        <w:t>&lt;?pubmed-excerpt?&gt;</w:t>
      </w:r>
    </w:p>
    <w:p w14:paraId="420EFE3E" w14:textId="5AE05230" w:rsidR="003A5039" w:rsidRPr="00B33D2A" w:rsidRDefault="00F5422D" w:rsidP="00237B2B">
      <w:r>
        <w:t xml:space="preserve">Olaparib is a small molecule inhibitor of poly ADP-ribose polymerase and is used as an antineoplastic agent in the therapy of refractory and advanced ovarian carcinoma. Olaparib </w:t>
      </w:r>
      <w:r w:rsidRPr="00B33D2A">
        <w:t xml:space="preserve">therapy is associated with a low rate of transient elevations in serum aminotransferase during therapy </w:t>
      </w:r>
      <w:r w:rsidR="00FF0F45" w:rsidRPr="00B33D2A">
        <w:t>and</w:t>
      </w:r>
      <w:r w:rsidR="00A21EFE" w:rsidRPr="00B33D2A">
        <w:t xml:space="preserve"> has been linked to several</w:t>
      </w:r>
      <w:r w:rsidRPr="00B33D2A">
        <w:t xml:space="preserve"> instances of clinically apparent liver injury</w:t>
      </w:r>
      <w:r w:rsidR="00A21EFE" w:rsidRPr="00B33D2A">
        <w:t xml:space="preserve"> which can be severe and even fatal</w:t>
      </w:r>
      <w:r w:rsidRPr="00B33D2A">
        <w:t>.</w:t>
      </w:r>
    </w:p>
    <w:p w14:paraId="543C77EC" w14:textId="77777777" w:rsidR="00336AF3" w:rsidRDefault="00336AF3"/>
    <w:p w14:paraId="2ED18C0D" w14:textId="77777777" w:rsidR="003A5039" w:rsidRDefault="00F5422D" w:rsidP="00237B2B">
      <w:pPr>
        <w:pStyle w:val="Heading3"/>
      </w:pPr>
      <w:bookmarkStart w:id="7" w:name="Olaparib.Background"/>
      <w:r>
        <w:t>Background</w:t>
      </w:r>
      <w:bookmarkEnd w:id="7"/>
    </w:p>
    <w:p w14:paraId="37F6971B" w14:textId="4DA367A9" w:rsidR="003A5039" w:rsidRPr="00B33D2A" w:rsidRDefault="00F5422D" w:rsidP="00237B2B">
      <w:r>
        <w:t xml:space="preserve">Olaparib (oh lap' a rib) is a small molecule inhibitor of poly adenine diphosphate (ADP)-ribose polymerase (PARP), an enzyme involved in DNA transcription and repair. Patients with mutations of the BRCA 1 and 2 genes are at increased risk for cancer, particularly ovarian and breast cancer in women. The BRCA gene encodes DNA repair enzymes, and tumor cells with BRCA mutations are dependent upon other DNA repair pathways and thus have an increased sensitivity to inhibition of PARP. Clinical trials of olaparib in women with BRCA 1 and 2 germline mutations and advanced, refractory ovarian carcinoma have shown response rates of 30% to 40% and prolongation of progression-free survival. Olaparib is also under evaluation as therapy for advanced breast cancer and other malignant diseases </w:t>
      </w:r>
      <w:r w:rsidR="0054520A">
        <w:t>associated with</w:t>
      </w:r>
      <w:r>
        <w:t xml:space="preserve"> mutations in BRCA or other DNA repair enzymes. Olaparib received approval for use in the United States in 2014 for </w:t>
      </w:r>
      <w:r w:rsidRPr="00B33D2A">
        <w:t>therapy of advanced and refractory ovarian carcinoma in women with BRAC 1 and 2 mutations</w:t>
      </w:r>
      <w:r w:rsidR="00FF0F45" w:rsidRPr="00B33D2A">
        <w:t>. Subsequently,</w:t>
      </w:r>
      <w:r w:rsidR="001B7E7F" w:rsidRPr="00B33D2A">
        <w:t xml:space="preserve"> indications were expanded to other refractory tumors </w:t>
      </w:r>
      <w:r w:rsidR="00FF0F45" w:rsidRPr="00B33D2A">
        <w:t xml:space="preserve">(pancreatic and prostate cancers) </w:t>
      </w:r>
      <w:r w:rsidR="001B7E7F" w:rsidRPr="00B33D2A">
        <w:t>with BRAC mutations</w:t>
      </w:r>
      <w:r w:rsidRPr="00B33D2A">
        <w:t xml:space="preserve">. Olaparib is available in </w:t>
      </w:r>
      <w:r w:rsidR="001B7E7F" w:rsidRPr="00B33D2A">
        <w:t>100 and 1</w:t>
      </w:r>
      <w:r w:rsidRPr="00B33D2A">
        <w:t xml:space="preserve">50 mg </w:t>
      </w:r>
      <w:r w:rsidR="007D228D" w:rsidRPr="00B33D2A">
        <w:t>tablets</w:t>
      </w:r>
      <w:r w:rsidRPr="00B33D2A">
        <w:t xml:space="preserve"> under the brand name Lynparza. The recommended dose is </w:t>
      </w:r>
      <w:r w:rsidR="001B7E7F" w:rsidRPr="00B33D2A">
        <w:t>3</w:t>
      </w:r>
      <w:r w:rsidRPr="00B33D2A">
        <w:t>00 mg by mouth twice dail</w:t>
      </w:r>
      <w:r>
        <w:t xml:space="preserve">y. Lower doses are recommended for patients with renal impairment. Common side effects include anemia, fatigue, nausea, diarrhea, dyspepsia, abdominal pain, anorexia, cough, muscle and join pain, </w:t>
      </w:r>
      <w:r w:rsidRPr="00B33D2A">
        <w:lastRenderedPageBreak/>
        <w:t xml:space="preserve">headache and rash. Uncommon, but potentially severe side effects include pneumonitis, </w:t>
      </w:r>
      <w:r w:rsidR="00953420" w:rsidRPr="00B33D2A">
        <w:t>venous thrombosis and thromboembol</w:t>
      </w:r>
      <w:r w:rsidR="001B7E7F" w:rsidRPr="00B33D2A">
        <w:t>ic events</w:t>
      </w:r>
      <w:r w:rsidR="00953420" w:rsidRPr="00B33D2A">
        <w:t xml:space="preserve">, </w:t>
      </w:r>
      <w:r w:rsidRPr="00B33D2A">
        <w:t>myelodysplastic syndrome</w:t>
      </w:r>
      <w:r w:rsidR="00953420" w:rsidRPr="00B33D2A">
        <w:t>s</w:t>
      </w:r>
      <w:r w:rsidR="001B7E7F" w:rsidRPr="00B33D2A">
        <w:t>,</w:t>
      </w:r>
      <w:r w:rsidR="00953420" w:rsidRPr="00B33D2A">
        <w:t xml:space="preserve"> </w:t>
      </w:r>
      <w:r w:rsidR="001B7E7F" w:rsidRPr="00B33D2A">
        <w:t xml:space="preserve">acute myelogenous </w:t>
      </w:r>
      <w:r w:rsidR="00953420" w:rsidRPr="00B33D2A">
        <w:t>leukemia</w:t>
      </w:r>
      <w:r w:rsidR="00A21EFE" w:rsidRPr="00B33D2A">
        <w:t xml:space="preserve">, </w:t>
      </w:r>
      <w:r w:rsidR="001B7E7F" w:rsidRPr="00B33D2A">
        <w:t xml:space="preserve">acute </w:t>
      </w:r>
      <w:r w:rsidR="00A21EFE" w:rsidRPr="00B33D2A">
        <w:t>liver injury,</w:t>
      </w:r>
      <w:r w:rsidRPr="00B33D2A">
        <w:t xml:space="preserve"> and embryo-fetal toxicity.</w:t>
      </w:r>
    </w:p>
    <w:p w14:paraId="0A0FAC1F" w14:textId="77777777" w:rsidR="00336AF3" w:rsidRDefault="00336AF3"/>
    <w:p w14:paraId="164AD56A" w14:textId="77777777" w:rsidR="003A5039" w:rsidRDefault="00F5422D" w:rsidP="00237B2B">
      <w:pPr>
        <w:pStyle w:val="Heading3"/>
      </w:pPr>
      <w:bookmarkStart w:id="8" w:name="Olaparib.Hepatotoxicity"/>
      <w:r>
        <w:t>Hepatotoxicity</w:t>
      </w:r>
      <w:bookmarkEnd w:id="8"/>
    </w:p>
    <w:p w14:paraId="4FEA072B" w14:textId="586A432C" w:rsidR="003A5039" w:rsidRPr="006D797F" w:rsidRDefault="00F5422D" w:rsidP="00237B2B">
      <w:r>
        <w:t xml:space="preserve">In </w:t>
      </w:r>
      <w:r w:rsidR="00FF0F45">
        <w:t>pre-registration</w:t>
      </w:r>
      <w:r>
        <w:t xml:space="preserve"> clinical trials of olaparib, abnormalities in routine liver tests were uncommon with serum aminotransferase elevations occurring in 4% of patients and values above 5 times the upper limit of normal (ULN) in 1% or less. </w:t>
      </w:r>
      <w:r w:rsidRPr="006D797F">
        <w:t xml:space="preserve">In </w:t>
      </w:r>
      <w:r w:rsidR="007D228D" w:rsidRPr="006D797F">
        <w:t xml:space="preserve">early </w:t>
      </w:r>
      <w:r w:rsidRPr="006D797F">
        <w:t xml:space="preserve">trials </w:t>
      </w:r>
      <w:r>
        <w:t xml:space="preserve">of olaparib in patients with various </w:t>
      </w:r>
      <w:r w:rsidRPr="006D797F">
        <w:t xml:space="preserve">advanced solid tumors there were no reports of hepatitis with jaundice or liver failure. </w:t>
      </w:r>
      <w:r w:rsidR="00554254" w:rsidRPr="006D797F">
        <w:t xml:space="preserve">However, </w:t>
      </w:r>
      <w:r w:rsidR="00953420" w:rsidRPr="006D797F">
        <w:t>after</w:t>
      </w:r>
      <w:r w:rsidRPr="006D797F">
        <w:t xml:space="preserve"> its approval and more widescale use, there have been </w:t>
      </w:r>
      <w:r w:rsidR="00A21EFE" w:rsidRPr="006D797F">
        <w:t xml:space="preserve">several </w:t>
      </w:r>
      <w:r w:rsidRPr="006D797F">
        <w:t>published reports of clinically apparent liver injury attributed to olaparib</w:t>
      </w:r>
      <w:r w:rsidR="00A21EFE" w:rsidRPr="006D797F">
        <w:t xml:space="preserve">, some of which have been severe and </w:t>
      </w:r>
      <w:r w:rsidR="00554254" w:rsidRPr="006D797F">
        <w:t xml:space="preserve">some </w:t>
      </w:r>
      <w:r w:rsidR="00A21EFE" w:rsidRPr="006D797F">
        <w:t>fatal</w:t>
      </w:r>
      <w:r w:rsidRPr="006D797F">
        <w:t>.</w:t>
      </w:r>
      <w:r w:rsidR="00554254" w:rsidRPr="006D797F">
        <w:t xml:space="preserve"> </w:t>
      </w:r>
      <w:r w:rsidR="00A21EFE" w:rsidRPr="006D797F">
        <w:t>The onset of injury ar</w:t>
      </w:r>
      <w:r w:rsidR="00FF0F45" w:rsidRPr="006D797F">
        <w:t>ose</w:t>
      </w:r>
      <w:r w:rsidR="00A21EFE" w:rsidRPr="006D797F">
        <w:t xml:space="preserve"> after 2 to 3 months of therapy and </w:t>
      </w:r>
      <w:r w:rsidR="00FF0F45" w:rsidRPr="006D797F">
        <w:t>was</w:t>
      </w:r>
      <w:r w:rsidR="00A21EFE" w:rsidRPr="006D797F">
        <w:t xml:space="preserve"> typically hepatocellular with marked elevations in serum ALT and AST but only modest elevations in alkaline phosphatase</w:t>
      </w:r>
      <w:r w:rsidR="00FF0F45" w:rsidRPr="006D797F">
        <w:t xml:space="preserve"> levels</w:t>
      </w:r>
      <w:r w:rsidR="00A21EFE" w:rsidRPr="006D797F">
        <w:t xml:space="preserve">. Rash and fever </w:t>
      </w:r>
      <w:r w:rsidR="00FF0F45" w:rsidRPr="006D797F">
        <w:t>we</w:t>
      </w:r>
      <w:r w:rsidR="00A21EFE" w:rsidRPr="006D797F">
        <w:t xml:space="preserve">re uncommon, but low titers of ANA and SMA </w:t>
      </w:r>
      <w:r w:rsidR="00FF0F45" w:rsidRPr="006D797F">
        <w:t>were</w:t>
      </w:r>
      <w:r w:rsidR="00A21EFE" w:rsidRPr="006D797F">
        <w:t xml:space="preserve"> reported</w:t>
      </w:r>
      <w:r w:rsidR="00554254" w:rsidRPr="006D797F">
        <w:t>,</w:t>
      </w:r>
      <w:r w:rsidR="00A21EFE" w:rsidRPr="006D797F">
        <w:t xml:space="preserve"> and clinical features as well as a rapid response to corticosteroid therapy </w:t>
      </w:r>
      <w:r w:rsidR="00FF0F45" w:rsidRPr="006D797F">
        <w:t>we</w:t>
      </w:r>
      <w:r w:rsidR="00A21EFE" w:rsidRPr="006D797F">
        <w:t>re typical. Liver biops</w:t>
      </w:r>
      <w:r w:rsidR="00FF0F45" w:rsidRPr="006D797F">
        <w:t>ies</w:t>
      </w:r>
      <w:r w:rsidR="00A21EFE" w:rsidRPr="006D797F">
        <w:t xml:space="preserve"> demonstrate</w:t>
      </w:r>
      <w:r w:rsidR="00FF0F45" w:rsidRPr="006D797F">
        <w:t>d</w:t>
      </w:r>
      <w:r w:rsidR="00A21EFE" w:rsidRPr="006D797F">
        <w:t xml:space="preserve"> hepatocellular injury with variable amounts of lobular necrosis and intense portal infiltration with lymphocytes and eosinophils with rare plasma cells.  </w:t>
      </w:r>
      <w:r w:rsidR="00554254" w:rsidRPr="006D797F">
        <w:t xml:space="preserve">Thus, olaparib appears to be a definite cause of idiosyncratic liver injury and </w:t>
      </w:r>
      <w:r w:rsidR="00FF0F45" w:rsidRPr="006D797F">
        <w:t xml:space="preserve">regular </w:t>
      </w:r>
      <w:r w:rsidR="00554254" w:rsidRPr="006D797F">
        <w:t xml:space="preserve">monitoring of liver tests is </w:t>
      </w:r>
      <w:r w:rsidR="00FF0F45" w:rsidRPr="006D797F">
        <w:t xml:space="preserve">now </w:t>
      </w:r>
      <w:r w:rsidR="00554254" w:rsidRPr="006D797F">
        <w:t>recommended.</w:t>
      </w:r>
    </w:p>
    <w:p w14:paraId="6021D748" w14:textId="797801C7" w:rsidR="003A5039" w:rsidRPr="006D797F" w:rsidRDefault="00F5422D" w:rsidP="00237B2B">
      <w:r w:rsidRPr="006D797F">
        <w:t xml:space="preserve">Likelihood score: </w:t>
      </w:r>
      <w:r w:rsidR="00554254" w:rsidRPr="006D797F">
        <w:t>C</w:t>
      </w:r>
      <w:r w:rsidRPr="006D797F">
        <w:t xml:space="preserve"> (</w:t>
      </w:r>
      <w:r w:rsidR="00554254" w:rsidRPr="006D797F">
        <w:t>probable rare</w:t>
      </w:r>
      <w:r w:rsidRPr="006D797F">
        <w:t xml:space="preserve"> cause of clinically apparent liver injury).</w:t>
      </w:r>
    </w:p>
    <w:p w14:paraId="0D4CDD1F" w14:textId="77777777" w:rsidR="00336AF3" w:rsidRDefault="00336AF3"/>
    <w:p w14:paraId="58CB9A52" w14:textId="77777777" w:rsidR="003A5039" w:rsidRPr="006D797F" w:rsidRDefault="00F5422D" w:rsidP="00237B2B">
      <w:pPr>
        <w:pStyle w:val="Heading3"/>
      </w:pPr>
      <w:bookmarkStart w:id="9" w:name="Olaparib.Mechanism_of_Injury"/>
      <w:r>
        <w:t>Mechanism of Injury</w:t>
      </w:r>
      <w:bookmarkEnd w:id="9"/>
    </w:p>
    <w:p w14:paraId="15EC0E23" w14:textId="2E1909A1" w:rsidR="003A5039" w:rsidRDefault="00F5422D" w:rsidP="00237B2B">
      <w:r w:rsidRPr="006D797F">
        <w:t xml:space="preserve">The mechanism of injury </w:t>
      </w:r>
      <w:r w:rsidR="00554254" w:rsidRPr="006D797F">
        <w:t>with</w:t>
      </w:r>
      <w:r w:rsidRPr="006D797F">
        <w:t xml:space="preserve"> olaparib therapy is not known</w:t>
      </w:r>
      <w:r w:rsidR="00554254" w:rsidRPr="006D797F">
        <w:t xml:space="preserve"> but it appears to be immune mediated</w:t>
      </w:r>
      <w:r w:rsidRPr="006D797F">
        <w:t xml:space="preserve">. Olaparib is metabolized in the liver largely through the CYP 3A4 pathway and liver injury may be related to production of a toxic </w:t>
      </w:r>
      <w:r w:rsidR="00554254" w:rsidRPr="006D797F">
        <w:t xml:space="preserve">or immunogenic </w:t>
      </w:r>
      <w:r w:rsidRPr="006D797F">
        <w:t>intermediate</w:t>
      </w:r>
      <w:r>
        <w:t>. Because it is a substrate for CYP 3A4, olaparib is susceptible to drug-drug interactions with agents that inhibit or induce hepatic CYP 3A activity.</w:t>
      </w:r>
    </w:p>
    <w:p w14:paraId="1BE72018" w14:textId="77777777" w:rsidR="00336AF3" w:rsidRDefault="00336AF3"/>
    <w:p w14:paraId="0CC70839" w14:textId="77777777" w:rsidR="003A5039" w:rsidRDefault="00F5422D" w:rsidP="00237B2B">
      <w:pPr>
        <w:pStyle w:val="Heading3"/>
      </w:pPr>
      <w:bookmarkStart w:id="10" w:name="Olaparib.Outcome_and_Management"/>
      <w:r>
        <w:t>Outcome and Management</w:t>
      </w:r>
      <w:bookmarkEnd w:id="10"/>
    </w:p>
    <w:p w14:paraId="4A931B78" w14:textId="316F06BD" w:rsidR="003A5039" w:rsidRPr="006D797F" w:rsidRDefault="00F5422D" w:rsidP="00237B2B">
      <w:r>
        <w:t>Serum aminotransferase elevations above 5 times the upper limit of normal (if confirmed) during olaparib therapy should lead to dose reduction or temporary cessation</w:t>
      </w:r>
      <w:r w:rsidRPr="006D797F">
        <w:t xml:space="preserve">. </w:t>
      </w:r>
      <w:r w:rsidR="00554254" w:rsidRPr="006D797F">
        <w:t xml:space="preserve">Patients with </w:t>
      </w:r>
      <w:r w:rsidR="00554254" w:rsidRPr="006D797F">
        <w:lastRenderedPageBreak/>
        <w:t>severe or symptomatic liver injury should avoid rechallenge as recurrent injury is typically more rapid in onset and worse in severity.  Interesting</w:t>
      </w:r>
      <w:r w:rsidR="006D797F" w:rsidRPr="006D797F">
        <w:t>ly</w:t>
      </w:r>
      <w:r w:rsidR="00554254" w:rsidRPr="006D797F">
        <w:t xml:space="preserve">, there </w:t>
      </w:r>
      <w:r w:rsidRPr="006D797F">
        <w:t>does not appear to be cross reactivity in risk for hepatic injury between olaparib and other PARP inhibitors such as rucaparib</w:t>
      </w:r>
      <w:r w:rsidR="00554254" w:rsidRPr="006D797F">
        <w:t xml:space="preserve"> or niraparib, but switching to another PARP inhibitor after olaparib hepatotoxicity should be done with caution and with careful monitoring for </w:t>
      </w:r>
      <w:r w:rsidR="00953420" w:rsidRPr="006D797F">
        <w:t>recurrence.</w:t>
      </w:r>
    </w:p>
    <w:p w14:paraId="08919D3E" w14:textId="77777777" w:rsidR="003A5039" w:rsidRDefault="00F5422D" w:rsidP="00237B2B">
      <w:r>
        <w:t xml:space="preserve">Drug Class: </w:t>
      </w:r>
      <w:hyperlink r:id="rId7" w:history="1">
        <w:r>
          <w:rPr>
            <w:rStyle w:val="Hyperlink"/>
          </w:rPr>
          <w:t>Antineoplastic Agents</w:t>
        </w:r>
      </w:hyperlink>
      <w:r>
        <w:t xml:space="preserve">, </w:t>
      </w:r>
      <w:hyperlink r:id="rId8" w:history="1">
        <w:r>
          <w:rPr>
            <w:rStyle w:val="Hyperlink"/>
          </w:rPr>
          <w:t>Protein Kinase Inhibitors</w:t>
        </w:r>
      </w:hyperlink>
    </w:p>
    <w:p w14:paraId="554A1469" w14:textId="77777777" w:rsidR="003A5039" w:rsidRDefault="00F5422D" w:rsidP="00237B2B">
      <w:r>
        <w:t xml:space="preserve">Other PARP Drugs: Niraparib, </w:t>
      </w:r>
      <w:hyperlink r:id="rId9" w:history="1">
        <w:r>
          <w:rPr>
            <w:rStyle w:val="Hyperlink"/>
          </w:rPr>
          <w:t>Rucaparib</w:t>
        </w:r>
      </w:hyperlink>
    </w:p>
    <w:p w14:paraId="15FDE587" w14:textId="77777777" w:rsidR="00336AF3" w:rsidRDefault="00336AF3"/>
    <w:p w14:paraId="485B164D" w14:textId="77777777" w:rsidR="003A5039" w:rsidRDefault="00F5422D" w:rsidP="00237B2B">
      <w:pPr>
        <w:pStyle w:val="Heading2"/>
      </w:pPr>
      <w:bookmarkStart w:id="11" w:name="Olaparib.PRODUCT_INFORMATION"/>
      <w:r>
        <w:t>PRODUCT INFORMATION</w:t>
      </w:r>
      <w:bookmarkEnd w:id="11"/>
    </w:p>
    <w:p w14:paraId="697372E5" w14:textId="77777777" w:rsidR="003A5039" w:rsidRDefault="00F5422D" w:rsidP="00237B2B">
      <w:r>
        <w:rPr>
          <w:b/>
        </w:rPr>
        <w:t>REPRESENTATIVE TRADE NAMES</w:t>
      </w:r>
    </w:p>
    <w:p w14:paraId="0D0B9CC0" w14:textId="77777777" w:rsidR="003A5039" w:rsidRDefault="00F5422D" w:rsidP="00237B2B">
      <w:r>
        <w:t>Olaparib – Lynparza®</w:t>
      </w:r>
    </w:p>
    <w:p w14:paraId="11893843" w14:textId="77777777" w:rsidR="003A5039" w:rsidRDefault="00F5422D" w:rsidP="00237B2B">
      <w:r>
        <w:rPr>
          <w:b/>
        </w:rPr>
        <w:t>DRUG CLASS</w:t>
      </w:r>
    </w:p>
    <w:p w14:paraId="584012E4" w14:textId="77777777" w:rsidR="003A5039" w:rsidRDefault="00F5422D" w:rsidP="00237B2B">
      <w:r>
        <w:t>Antineoplastic Agents</w:t>
      </w:r>
    </w:p>
    <w:p w14:paraId="2D21A9A5" w14:textId="77777777" w:rsidR="003A5039" w:rsidRDefault="00F5422D" w:rsidP="00237B2B">
      <w:hyperlink r:id="rId10" w:history="1">
        <w:r>
          <w:rPr>
            <w:rStyle w:val="Hyperlink"/>
          </w:rPr>
          <w:t>COMPLETE LABELING</w:t>
        </w:r>
      </w:hyperlink>
    </w:p>
    <w:p w14:paraId="7F75D93B" w14:textId="77777777" w:rsidR="003A5039" w:rsidRDefault="00F5422D" w:rsidP="00237B2B">
      <w:r>
        <w:t>Product labeling at DailyMed, National Library of Medicine, NIH</w:t>
      </w:r>
    </w:p>
    <w:p w14:paraId="671BB8C6" w14:textId="77777777" w:rsidR="00336AF3" w:rsidRDefault="00336AF3"/>
    <w:p w14:paraId="2D8C6603" w14:textId="77777777" w:rsidR="003A5039" w:rsidRDefault="00F5422D" w:rsidP="00237B2B">
      <w:pPr>
        <w:pStyle w:val="Heading2"/>
      </w:pPr>
      <w:bookmarkStart w:id="12" w:name="Olaparib.CHEMICAL_FORMULA_AND_STRUCTURE"/>
      <w:r>
        <w:t>CHEMICAL FORMULA AND STRUCTURE</w:t>
      </w:r>
      <w:bookmarkEnd w:id="12"/>
    </w:p>
    <w:p w14:paraId="7E325202" w14:textId="77777777" w:rsidR="00336AF3" w:rsidRDefault="00336AF3"/>
    <w:tbl>
      <w:tblPr>
        <w:tblStyle w:val="TableGrid"/>
        <w:tblW w:w="0" w:type="auto"/>
        <w:tblLook w:val="01E0" w:firstRow="1" w:lastRow="1" w:firstColumn="1" w:lastColumn="1" w:noHBand="0" w:noVBand="0"/>
      </w:tblPr>
      <w:tblGrid>
        <w:gridCol w:w="912"/>
        <w:gridCol w:w="1738"/>
        <w:gridCol w:w="2155"/>
        <w:gridCol w:w="1493"/>
      </w:tblGrid>
      <w:tr w:rsidR="00336AF3" w14:paraId="328E8B92" w14:textId="77777777">
        <w:tc>
          <w:tcPr>
            <w:tcW w:w="0" w:type="auto"/>
          </w:tcPr>
          <w:p w14:paraId="6B811D85" w14:textId="77777777" w:rsidR="003A5039" w:rsidRDefault="00F5422D" w:rsidP="006D797F">
            <w:pPr>
              <w:pStyle w:val="Tableheader"/>
            </w:pPr>
            <w:r>
              <w:t>DRUG</w:t>
            </w:r>
          </w:p>
        </w:tc>
        <w:tc>
          <w:tcPr>
            <w:tcW w:w="0" w:type="auto"/>
          </w:tcPr>
          <w:p w14:paraId="53566ED4" w14:textId="77777777" w:rsidR="003A5039" w:rsidRDefault="00F5422D" w:rsidP="006D797F">
            <w:pPr>
              <w:pStyle w:val="Tableheader"/>
            </w:pPr>
            <w:r>
              <w:t>CAS REGISTRY NO.</w:t>
            </w:r>
          </w:p>
        </w:tc>
        <w:tc>
          <w:tcPr>
            <w:tcW w:w="0" w:type="auto"/>
          </w:tcPr>
          <w:p w14:paraId="35E68A11" w14:textId="77777777" w:rsidR="003A5039" w:rsidRDefault="00F5422D" w:rsidP="006D797F">
            <w:pPr>
              <w:pStyle w:val="Tableheader"/>
            </w:pPr>
            <w:r>
              <w:t>MOLECULAR FORMULA</w:t>
            </w:r>
          </w:p>
        </w:tc>
        <w:tc>
          <w:tcPr>
            <w:tcW w:w="0" w:type="auto"/>
          </w:tcPr>
          <w:p w14:paraId="684B79DA" w14:textId="77777777" w:rsidR="003A5039" w:rsidRDefault="00F5422D" w:rsidP="006D797F">
            <w:pPr>
              <w:pStyle w:val="Tableheader"/>
            </w:pPr>
            <w:r>
              <w:t>STRUCTURE</w:t>
            </w:r>
          </w:p>
        </w:tc>
      </w:tr>
      <w:tr w:rsidR="00336AF3" w14:paraId="3578B372" w14:textId="77777777">
        <w:tc>
          <w:tcPr>
            <w:tcW w:w="0" w:type="auto"/>
          </w:tcPr>
          <w:p w14:paraId="218D1EAE" w14:textId="77777777" w:rsidR="003A5039" w:rsidRDefault="00F5422D" w:rsidP="00237B2B">
            <w:pPr>
              <w:pStyle w:val="Tablebody"/>
            </w:pPr>
            <w:r>
              <w:t>Olaparib</w:t>
            </w:r>
          </w:p>
        </w:tc>
        <w:tc>
          <w:tcPr>
            <w:tcW w:w="0" w:type="auto"/>
          </w:tcPr>
          <w:p w14:paraId="3DDECD5B" w14:textId="77777777" w:rsidR="003A5039" w:rsidRDefault="00F5422D" w:rsidP="00237B2B">
            <w:pPr>
              <w:pStyle w:val="Tablebody"/>
            </w:pPr>
            <w:hyperlink r:id="rId11" w:history="1">
              <w:r>
                <w:rPr>
                  <w:rStyle w:val="Hyperlink"/>
                </w:rPr>
                <w:t>763113-22-0</w:t>
              </w:r>
            </w:hyperlink>
          </w:p>
        </w:tc>
        <w:tc>
          <w:tcPr>
            <w:tcW w:w="0" w:type="auto"/>
          </w:tcPr>
          <w:p w14:paraId="2778F53A" w14:textId="77777777" w:rsidR="003A5039" w:rsidRDefault="00F5422D" w:rsidP="00237B2B">
            <w:pPr>
              <w:pStyle w:val="Tablebody"/>
            </w:pPr>
            <w:r>
              <w:t>C24-H23-F-N4-O3</w:t>
            </w:r>
          </w:p>
        </w:tc>
        <w:tc>
          <w:tcPr>
            <w:tcW w:w="0" w:type="auto"/>
          </w:tcPr>
          <w:p w14:paraId="66646B63" w14:textId="77777777" w:rsidR="003A5039" w:rsidRDefault="00F5422D" w:rsidP="00237B2B">
            <w:pPr>
              <w:pStyle w:val="Tablebody"/>
            </w:pPr>
            <w:r>
              <w:t>SID: 135261055</w:t>
            </w:r>
          </w:p>
        </w:tc>
      </w:tr>
    </w:tbl>
    <w:p w14:paraId="7288E744" w14:textId="77777777" w:rsidR="00336AF3" w:rsidRDefault="00336AF3"/>
    <w:p w14:paraId="091D0727" w14:textId="77777777" w:rsidR="00336AF3" w:rsidRDefault="00336AF3"/>
    <w:p w14:paraId="39A828ED" w14:textId="77777777" w:rsidR="003A5039" w:rsidRDefault="00F5422D" w:rsidP="00237B2B">
      <w:pPr>
        <w:pStyle w:val="Heading2"/>
      </w:pPr>
      <w:bookmarkStart w:id="13" w:name="Olaparib.ANNOTATED_BIBLIOGRAPHY"/>
      <w:r>
        <w:t>ANNOTATED BIBLIOGRAPHY</w:t>
      </w:r>
      <w:bookmarkEnd w:id="13"/>
    </w:p>
    <w:p w14:paraId="0336EA10" w14:textId="2A306762" w:rsidR="003A5039" w:rsidRPr="006D797F" w:rsidRDefault="00F5422D" w:rsidP="00237B2B">
      <w:r>
        <w:t xml:space="preserve">References </w:t>
      </w:r>
      <w:r w:rsidRPr="006D797F">
        <w:t xml:space="preserve">updated: </w:t>
      </w:r>
      <w:r w:rsidR="00554254" w:rsidRPr="006D797F">
        <w:t>18 May 2026</w:t>
      </w:r>
    </w:p>
    <w:p w14:paraId="6CBE12BE" w14:textId="77777777" w:rsidR="003A5039" w:rsidRPr="00B51CCE" w:rsidRDefault="00F5422D" w:rsidP="00237B2B">
      <w:r w:rsidRPr="00B51CCE">
        <w:t>Abbreviations used: PARP, poly adenine diphosphate-ribose polymerase</w:t>
      </w:r>
    </w:p>
    <w:p w14:paraId="52E2064D" w14:textId="77777777" w:rsidR="00336AF3" w:rsidRPr="00B51CCE" w:rsidRDefault="00442B3D">
      <w:pPr>
        <w:pStyle w:val="Suggestedreading"/>
        <w:rPr>
          <w:sz w:val="24"/>
        </w:rPr>
      </w:pPr>
      <w:r w:rsidRPr="00B51CCE">
        <w:rPr>
          <w:sz w:val="24"/>
        </w:rPr>
        <w:lastRenderedPageBreak/>
        <w:t>Zimmerman HJ. Hepatotoxicity: the adverse effects of drugs and other chemicals on the liver. 2nd ed. Philadelphia: Lippincott, 1999.</w:t>
      </w:r>
    </w:p>
    <w:p w14:paraId="44188B85" w14:textId="77777777" w:rsidR="00336AF3" w:rsidRPr="00B51CCE" w:rsidRDefault="00442B3D" w:rsidP="00D43A86">
      <w:pPr>
        <w:pStyle w:val="Reference-annotation"/>
        <w:rPr>
          <w:i/>
          <w:sz w:val="24"/>
        </w:rPr>
      </w:pPr>
      <w:r w:rsidRPr="00B51CCE">
        <w:rPr>
          <w:i/>
          <w:sz w:val="24"/>
        </w:rPr>
        <w:t>(Review of hepatotoxicity published in 1999 before the availability of protein kinase or PARP inhibitors such as olaparib).</w:t>
      </w:r>
    </w:p>
    <w:p w14:paraId="7CAD3518" w14:textId="77777777" w:rsidR="00336AF3" w:rsidRPr="00B51CCE" w:rsidRDefault="00442B3D">
      <w:pPr>
        <w:pStyle w:val="Suggestedreading"/>
        <w:rPr>
          <w:sz w:val="24"/>
        </w:rPr>
      </w:pPr>
      <w:r w:rsidRPr="00B51CCE">
        <w:rPr>
          <w:sz w:val="24"/>
        </w:rPr>
        <w:t>DeLeve LD. Kinase inhibitors. Cancer chemotherapy. In, Kaplowitz N, DeLeve LD, eds. Drug-induced liver disease. 3rd ed. Amsterdam: Elsevier, 2013, pp. 556.</w:t>
      </w:r>
    </w:p>
    <w:p w14:paraId="1BDADA60" w14:textId="77777777" w:rsidR="00336AF3" w:rsidRPr="00B51CCE" w:rsidRDefault="00442B3D" w:rsidP="00D43A86">
      <w:pPr>
        <w:pStyle w:val="Reference-annotation"/>
        <w:rPr>
          <w:i/>
          <w:sz w:val="24"/>
        </w:rPr>
      </w:pPr>
      <w:r w:rsidRPr="00B51CCE">
        <w:rPr>
          <w:i/>
          <w:sz w:val="24"/>
        </w:rPr>
        <w:t>(Review of hepatotoxicity of cancer chemotherapeutic agents discusses several kinase inhibitors including gefitinib, erlotinib and crizotinib, but not the PARP inhibitors such as olaparib).</w:t>
      </w:r>
    </w:p>
    <w:p w14:paraId="35F843B5" w14:textId="6FD09FDC" w:rsidR="00336AF3" w:rsidRPr="00B51CCE" w:rsidRDefault="00442B3D">
      <w:pPr>
        <w:pStyle w:val="Suggestedreading"/>
        <w:rPr>
          <w:sz w:val="24"/>
        </w:rPr>
      </w:pPr>
      <w:r w:rsidRPr="00B51CCE">
        <w:rPr>
          <w:sz w:val="24"/>
        </w:rPr>
        <w:t xml:space="preserve">Chabner BA, Barnes J, Neal J, Olson E, Mujagic H, Sequist L, Wilson W, et al. Targeted therapies: tyrosine kinase inhibitors, monoclonal antibodies, and cytokines. In, Brunton LL, Chabner BA, Knollman BC, eds. Goodman &amp; Gilman's </w:t>
      </w:r>
      <w:r w:rsidR="00FF0F45" w:rsidRPr="00B51CCE">
        <w:rPr>
          <w:sz w:val="24"/>
        </w:rPr>
        <w:t>pharmacological</w:t>
      </w:r>
      <w:r w:rsidRPr="00B51CCE">
        <w:rPr>
          <w:sz w:val="24"/>
        </w:rPr>
        <w:t xml:space="preserve"> basis of therapeutics. 12th ed. New York: McGraw-Hill, 2011, pp. 1731-54.</w:t>
      </w:r>
    </w:p>
    <w:p w14:paraId="104A3E63" w14:textId="77777777" w:rsidR="00336AF3" w:rsidRPr="00B51CCE" w:rsidRDefault="00442B3D" w:rsidP="00D43A86">
      <w:pPr>
        <w:pStyle w:val="Reference-annotation"/>
        <w:rPr>
          <w:i/>
          <w:sz w:val="24"/>
        </w:rPr>
      </w:pPr>
      <w:r w:rsidRPr="00B51CCE">
        <w:rPr>
          <w:i/>
          <w:sz w:val="24"/>
        </w:rPr>
        <w:t>(Textbook of pharmacology and therapeutics).</w:t>
      </w:r>
    </w:p>
    <w:p w14:paraId="0B482852" w14:textId="5DF0A981" w:rsidR="00336AF3" w:rsidRPr="00B51CCE" w:rsidRDefault="00442B3D">
      <w:pPr>
        <w:pStyle w:val="Suggestedreading"/>
        <w:rPr>
          <w:sz w:val="24"/>
        </w:rPr>
      </w:pPr>
      <w:r w:rsidRPr="00B51CCE">
        <w:rPr>
          <w:sz w:val="24"/>
        </w:rPr>
        <w:t xml:space="preserve">Audeh MW, Carmichael J, Penson RT, Friedlander M, Powell B, Bell-McGuinn KM, Scott C, et al. Oral poly (ADP-ribose) polymerase inhibitor olaparib in patients with BRCA1 or BRCA2 mutations and recurrent ovarian cancer: a proof-of-concept trial. Lancet 2010; 376 (9737): 245-51. </w:t>
      </w:r>
      <w:r w:rsidR="00463F99">
        <w:rPr>
          <w:sz w:val="24"/>
        </w:rPr>
        <w:t xml:space="preserve">PMID: </w:t>
      </w:r>
      <w:r w:rsidRPr="00B51CCE">
        <w:rPr>
          <w:sz w:val="24"/>
        </w:rPr>
        <w:t>20609468</w:t>
      </w:r>
    </w:p>
    <w:p w14:paraId="6A3F88C9" w14:textId="77777777" w:rsidR="00336AF3" w:rsidRPr="00B51CCE" w:rsidRDefault="00442B3D" w:rsidP="00D43A86">
      <w:pPr>
        <w:pStyle w:val="Reference-annotation"/>
        <w:rPr>
          <w:i/>
          <w:sz w:val="24"/>
        </w:rPr>
      </w:pPr>
      <w:r w:rsidRPr="00B51CCE">
        <w:rPr>
          <w:i/>
          <w:sz w:val="24"/>
        </w:rPr>
        <w:t>(Among 57 women with BRAC 1 or 2 mutations and advanced, refractory ovarian carcinoma treated with 400 vs 100 mg of olaparib twice daily, objective response rates were 33% vs 13%, while dose interruptions and reductions for adverse events were more frequent with the higher dose; no mention of ALT elevations or hepatotoxicity).</w:t>
      </w:r>
    </w:p>
    <w:p w14:paraId="226F6D4C" w14:textId="4F746140" w:rsidR="00336AF3" w:rsidRPr="00B51CCE" w:rsidRDefault="00442B3D">
      <w:pPr>
        <w:pStyle w:val="Suggestedreading"/>
        <w:rPr>
          <w:sz w:val="24"/>
        </w:rPr>
      </w:pPr>
      <w:r w:rsidRPr="00C66388">
        <w:rPr>
          <w:sz w:val="24"/>
        </w:rPr>
        <w:t xml:space="preserve">Tutt A, Robson M, Garber JE, Domchek SM, Audeh MW, Weitzel JN, Friedlander M, et al. </w:t>
      </w:r>
      <w:r w:rsidRPr="00B51CCE">
        <w:rPr>
          <w:sz w:val="24"/>
        </w:rPr>
        <w:t xml:space="preserve">Oral poly (ADP-ribose) polymerase inhibitor olaparib in patients with BRCA1 or BRCA2 mutations and advanced breast cancer: a proof-of-concept trial. Lancet 2010; 376 (9737): 235-44. </w:t>
      </w:r>
      <w:r w:rsidR="00463F99">
        <w:rPr>
          <w:sz w:val="24"/>
        </w:rPr>
        <w:t>PMID:</w:t>
      </w:r>
      <w:r w:rsidRPr="00B51CCE">
        <w:rPr>
          <w:sz w:val="24"/>
        </w:rPr>
        <w:t xml:space="preserve"> 20609467</w:t>
      </w:r>
    </w:p>
    <w:p w14:paraId="27C0D421" w14:textId="77777777" w:rsidR="00336AF3" w:rsidRPr="00B51CCE" w:rsidRDefault="00442B3D" w:rsidP="00D43A86">
      <w:pPr>
        <w:pStyle w:val="Reference-annotation"/>
        <w:rPr>
          <w:i/>
          <w:sz w:val="24"/>
        </w:rPr>
      </w:pPr>
      <w:r w:rsidRPr="00B51CCE">
        <w:rPr>
          <w:i/>
          <w:sz w:val="24"/>
        </w:rPr>
        <w:t>(Among 54 women with BRCA 1 or 2 mutations and advanced, refractory breast cancer treated with 400 vs 100 mg of olaparib twice daily, objective response rates were 41% and 22%, while dose interruptions and reductions for adverse events were more frequent with the higher dose; no mention of ALT elevations or hepatotoxicity).</w:t>
      </w:r>
    </w:p>
    <w:p w14:paraId="2B96AF76" w14:textId="3EC3A699" w:rsidR="00336AF3" w:rsidRPr="00B51CCE" w:rsidRDefault="00442B3D">
      <w:pPr>
        <w:pStyle w:val="Suggestedreading"/>
        <w:rPr>
          <w:sz w:val="24"/>
        </w:rPr>
      </w:pPr>
      <w:r w:rsidRPr="00B51CCE">
        <w:rPr>
          <w:sz w:val="24"/>
        </w:rPr>
        <w:t xml:space="preserve">Gelmon KA, Tischkowitz M, Mackay H, Swenerton K, Robidoux A, Tonkin K, Hirte H, et al. Olaparib in patients with recurrent high-grade serous or poorly differentiated ovarian carcinoma or triple-negative breast cancer: a phase 2, multicentre, open-label, non-randomised study. Lancet Oncol 2011; 12: 852-61. </w:t>
      </w:r>
      <w:r w:rsidR="00463F99">
        <w:rPr>
          <w:sz w:val="24"/>
        </w:rPr>
        <w:t>PMID:</w:t>
      </w:r>
      <w:r w:rsidRPr="00B51CCE">
        <w:rPr>
          <w:sz w:val="24"/>
        </w:rPr>
        <w:t xml:space="preserve"> 21862407</w:t>
      </w:r>
    </w:p>
    <w:p w14:paraId="4ED6018E" w14:textId="77777777" w:rsidR="00336AF3" w:rsidRPr="00B51CCE" w:rsidRDefault="00442B3D" w:rsidP="00D43A86">
      <w:pPr>
        <w:pStyle w:val="Reference-annotation"/>
        <w:rPr>
          <w:i/>
          <w:sz w:val="24"/>
        </w:rPr>
      </w:pPr>
      <w:r w:rsidRPr="00B51CCE">
        <w:rPr>
          <w:i/>
          <w:sz w:val="24"/>
        </w:rPr>
        <w:lastRenderedPageBreak/>
        <w:t>(In an open label trial of olaparib [400 mg twice daily] in women with advanced ovarian or breast cancer, objective responses occurred in 18 of 63 [29%] women with ovarian carcinoma, but none of 26 with breast cancer; no mention of ALT elevations or hepatotoxicity).</w:t>
      </w:r>
    </w:p>
    <w:p w14:paraId="03068D91" w14:textId="72DB06F5" w:rsidR="00336AF3" w:rsidRPr="00B51CCE" w:rsidRDefault="00442B3D">
      <w:pPr>
        <w:pStyle w:val="Suggestedreading"/>
        <w:rPr>
          <w:sz w:val="24"/>
        </w:rPr>
      </w:pPr>
      <w:r w:rsidRPr="00C66388">
        <w:rPr>
          <w:sz w:val="24"/>
        </w:rPr>
        <w:t xml:space="preserve">Ledermann J, Harter P, Gourley C, Friedlander M, Vergote I, Rustin G, Scott C, et al. </w:t>
      </w:r>
      <w:r w:rsidRPr="00B51CCE">
        <w:rPr>
          <w:sz w:val="24"/>
        </w:rPr>
        <w:t xml:space="preserve">Olaparib maintenance therapy in platinum-sensitive relapsed ovarian cancer. N Engl J Med 2012; 366: 1382-92. </w:t>
      </w:r>
      <w:r w:rsidR="00463F99">
        <w:rPr>
          <w:sz w:val="24"/>
        </w:rPr>
        <w:t>PMID:</w:t>
      </w:r>
      <w:r w:rsidRPr="00B51CCE">
        <w:rPr>
          <w:sz w:val="24"/>
        </w:rPr>
        <w:t xml:space="preserve"> 22452356</w:t>
      </w:r>
    </w:p>
    <w:p w14:paraId="2D719326" w14:textId="77777777" w:rsidR="00336AF3" w:rsidRPr="00B51CCE" w:rsidRDefault="00442B3D" w:rsidP="00D43A86">
      <w:pPr>
        <w:pStyle w:val="Reference-annotation"/>
        <w:rPr>
          <w:i/>
          <w:sz w:val="24"/>
        </w:rPr>
      </w:pPr>
      <w:r w:rsidRPr="00B51CCE">
        <w:rPr>
          <w:i/>
          <w:sz w:val="24"/>
        </w:rPr>
        <w:t>(Among 265 women with advanced ovarian cancer who had a partial or complete response to platinum based chemotherapy, progression free survival was higher with olaparib than placebo [8.4 vs 4.8 months], and adverse events included nausea [68% vs 35%], fatigue [49% vs 38%] and anemia [17% vs 5%], and "there were no unexpected changes in biochemical laboratory measurements").</w:t>
      </w:r>
    </w:p>
    <w:p w14:paraId="7926D75E" w14:textId="57A6DADD" w:rsidR="00336AF3" w:rsidRPr="00B51CCE" w:rsidRDefault="00442B3D">
      <w:pPr>
        <w:pStyle w:val="Suggestedreading"/>
        <w:rPr>
          <w:sz w:val="24"/>
        </w:rPr>
      </w:pPr>
      <w:r w:rsidRPr="00B51CCE">
        <w:rPr>
          <w:sz w:val="24"/>
        </w:rPr>
        <w:t xml:space="preserve">Kaye SB, Lubinski J, Matulonis U, Ang JE, Gourley C, Karlan BY, Amnon A, et al. Phase II, open-label, randomized, multicenter study comparing the efficacy and safety of olaparib, a poly (ADP-ribose) polymerase inhibitor, and pegylated liposomal doxorubicin in patients with BRCA1 or BRCA2 mutations and recurrent ovarian cancer. J Clin Oncol 2012; 30: 372-9. </w:t>
      </w:r>
      <w:r w:rsidR="00463F99">
        <w:rPr>
          <w:sz w:val="24"/>
        </w:rPr>
        <w:t>PMID:</w:t>
      </w:r>
      <w:r w:rsidRPr="00B51CCE">
        <w:rPr>
          <w:sz w:val="24"/>
        </w:rPr>
        <w:t xml:space="preserve"> 22203755</w:t>
      </w:r>
    </w:p>
    <w:p w14:paraId="62213BB0" w14:textId="77777777" w:rsidR="00336AF3" w:rsidRPr="00B51CCE" w:rsidRDefault="00442B3D" w:rsidP="00D43A86">
      <w:pPr>
        <w:pStyle w:val="Reference-annotation"/>
        <w:rPr>
          <w:i/>
          <w:sz w:val="24"/>
        </w:rPr>
      </w:pPr>
      <w:r w:rsidRPr="00B51CCE">
        <w:rPr>
          <w:i/>
          <w:sz w:val="24"/>
        </w:rPr>
        <w:t>(Among 97 women with BRCA 1 or 2 mutations and advanced ovarian cancer treated with olaparib [200 or 400 mg twice daily] or doxorubicin [intravenously every 28 days], progression free survival was similar in all 3 groups and specific adverse events were not mentioned).</w:t>
      </w:r>
    </w:p>
    <w:p w14:paraId="2FFBC999" w14:textId="372745D9" w:rsidR="00336AF3" w:rsidRPr="00B51CCE" w:rsidRDefault="00442B3D">
      <w:pPr>
        <w:pStyle w:val="Suggestedreading"/>
        <w:rPr>
          <w:sz w:val="24"/>
        </w:rPr>
      </w:pPr>
      <w:r w:rsidRPr="00C66388">
        <w:rPr>
          <w:sz w:val="24"/>
        </w:rPr>
        <w:t xml:space="preserve">Garnett MJ, Edelman EJ, Heidorn SJ, Greenman CD, Dastur A, Lau KW, Greninger P, et al. </w:t>
      </w:r>
      <w:r w:rsidRPr="00B51CCE">
        <w:rPr>
          <w:sz w:val="24"/>
        </w:rPr>
        <w:t xml:space="preserve">Systematic identification of genomic markers of drug sensitivity in cancer cells. Nature 2012; 483 (7391): 570-5. </w:t>
      </w:r>
      <w:r w:rsidR="00463F99">
        <w:rPr>
          <w:sz w:val="24"/>
        </w:rPr>
        <w:t>PMID:</w:t>
      </w:r>
      <w:r w:rsidRPr="00B51CCE">
        <w:rPr>
          <w:sz w:val="24"/>
        </w:rPr>
        <w:t xml:space="preserve"> 22460902</w:t>
      </w:r>
    </w:p>
    <w:p w14:paraId="6971B351" w14:textId="77777777" w:rsidR="00336AF3" w:rsidRPr="00B51CCE" w:rsidRDefault="00442B3D" w:rsidP="00D43A86">
      <w:pPr>
        <w:pStyle w:val="Reference-annotation"/>
        <w:rPr>
          <w:i/>
          <w:sz w:val="24"/>
        </w:rPr>
      </w:pPr>
      <w:r w:rsidRPr="00B51CCE">
        <w:rPr>
          <w:i/>
          <w:sz w:val="24"/>
        </w:rPr>
        <w:t>(Correlation of mutated cancer genes identified in cancer cell lines with their sensitivity to growth inhibition by antineoplastic agents revealed the possible role of PARP inhibition in several tumors including Ewing sarcoma).</w:t>
      </w:r>
    </w:p>
    <w:p w14:paraId="49F9283B" w14:textId="78AF6F71" w:rsidR="00336AF3" w:rsidRPr="00B51CCE" w:rsidRDefault="00442B3D">
      <w:pPr>
        <w:pStyle w:val="Suggestedreading"/>
        <w:rPr>
          <w:sz w:val="24"/>
        </w:rPr>
      </w:pPr>
      <w:r w:rsidRPr="00C66388">
        <w:rPr>
          <w:sz w:val="24"/>
        </w:rPr>
        <w:t xml:space="preserve">Ledermann J, Harter P, Gourley C, Friedlander M, Vergote I, Rustin G, et al. </w:t>
      </w:r>
      <w:r w:rsidRPr="00B51CCE">
        <w:rPr>
          <w:sz w:val="24"/>
        </w:rPr>
        <w:t xml:space="preserve">Olaparib maintenance therapy in patients with platinum-sensitive relapsed serous ovarian cancer: a preplanned retrospective analysis of outcomes by BRCA status in a randomized phase 2 trial. Lancet Oncol 2014; 15: 852-61. </w:t>
      </w:r>
      <w:r w:rsidR="00463F99">
        <w:rPr>
          <w:sz w:val="24"/>
        </w:rPr>
        <w:t>PMID:</w:t>
      </w:r>
      <w:r w:rsidRPr="00B51CCE">
        <w:rPr>
          <w:sz w:val="24"/>
        </w:rPr>
        <w:t xml:space="preserve"> 24882434</w:t>
      </w:r>
    </w:p>
    <w:p w14:paraId="7689384C" w14:textId="77777777" w:rsidR="00336AF3" w:rsidRPr="00B51CCE" w:rsidRDefault="00442B3D" w:rsidP="00D43A86">
      <w:pPr>
        <w:pStyle w:val="Reference-annotation"/>
        <w:rPr>
          <w:i/>
          <w:sz w:val="24"/>
        </w:rPr>
      </w:pPr>
      <w:r w:rsidRPr="00B51CCE">
        <w:rPr>
          <w:i/>
          <w:sz w:val="24"/>
        </w:rPr>
        <w:t>(Among 265 women with BRCA 1 or 2 mutations and relapsed, platinum-sensitive ovarian cancer treated with olaparib or placebo [Ledermann 2012], further follow up showed prolongation of progression free, but not overall survival with olaparib therapy and adverse events were similar to those previously reported).</w:t>
      </w:r>
    </w:p>
    <w:p w14:paraId="0941A5C9" w14:textId="7D534B8A" w:rsidR="00336AF3" w:rsidRPr="00B51CCE" w:rsidRDefault="00442B3D">
      <w:pPr>
        <w:pStyle w:val="Suggestedreading"/>
        <w:rPr>
          <w:sz w:val="24"/>
        </w:rPr>
      </w:pPr>
      <w:r w:rsidRPr="00B51CCE">
        <w:rPr>
          <w:sz w:val="24"/>
        </w:rPr>
        <w:t xml:space="preserve">Ledford H. Resurrected cancer drug faces regulators. Nature 2014; 510 (7506): 454. </w:t>
      </w:r>
      <w:r w:rsidR="00463F99">
        <w:rPr>
          <w:sz w:val="24"/>
        </w:rPr>
        <w:t>PMID:</w:t>
      </w:r>
      <w:r w:rsidRPr="00B51CCE">
        <w:rPr>
          <w:sz w:val="24"/>
        </w:rPr>
        <w:t xml:space="preserve"> 24965630</w:t>
      </w:r>
    </w:p>
    <w:p w14:paraId="3681D255" w14:textId="77777777" w:rsidR="00336AF3" w:rsidRPr="00B51CCE" w:rsidRDefault="00442B3D" w:rsidP="00D43A86">
      <w:pPr>
        <w:pStyle w:val="Reference-annotation"/>
        <w:rPr>
          <w:i/>
          <w:sz w:val="24"/>
        </w:rPr>
      </w:pPr>
      <w:r w:rsidRPr="00B51CCE">
        <w:rPr>
          <w:i/>
          <w:sz w:val="24"/>
        </w:rPr>
        <w:lastRenderedPageBreak/>
        <w:t>(News report on olaparib, the initial PARP inhibitor, which in early clinical trials showed little effect on survival in women with ovarian carcinoma, but on reassessment limiting analysis to cases with BRCA mutations found evidence of an effect on cancer growth, reviving interest in pursuing olaparib as therapy of selected patients with ovarian cancer).</w:t>
      </w:r>
    </w:p>
    <w:p w14:paraId="2D6ED734" w14:textId="7F85F952" w:rsidR="00336AF3" w:rsidRPr="00B51CCE" w:rsidRDefault="00442B3D">
      <w:pPr>
        <w:pStyle w:val="Suggestedreading"/>
        <w:rPr>
          <w:sz w:val="24"/>
        </w:rPr>
      </w:pPr>
      <w:r w:rsidRPr="00B51CCE">
        <w:rPr>
          <w:sz w:val="24"/>
        </w:rPr>
        <w:t xml:space="preserve">Kaufman B, Shapira-Frommer R, Schmutzler RK, Audeh MW, Friedlander M, Balmaña J, Mitchell G, et al. Olaparib monotherapy in patients with advanced cancer and a germline BRCA1/2 mutation. J Clin Oncol 2015; 33: 244-50. </w:t>
      </w:r>
      <w:r w:rsidR="00463F99">
        <w:rPr>
          <w:sz w:val="24"/>
        </w:rPr>
        <w:t>PMID:</w:t>
      </w:r>
      <w:r w:rsidRPr="00B51CCE">
        <w:rPr>
          <w:sz w:val="24"/>
        </w:rPr>
        <w:t xml:space="preserve"> 25366685</w:t>
      </w:r>
    </w:p>
    <w:p w14:paraId="1042B4F1" w14:textId="77777777" w:rsidR="00336AF3" w:rsidRPr="00B51CCE" w:rsidRDefault="00442B3D" w:rsidP="00D43A86">
      <w:pPr>
        <w:pStyle w:val="Reference-annotation"/>
        <w:rPr>
          <w:i/>
          <w:sz w:val="24"/>
        </w:rPr>
      </w:pPr>
      <w:r w:rsidRPr="00B51CCE">
        <w:rPr>
          <w:i/>
          <w:sz w:val="24"/>
        </w:rPr>
        <w:t>(Among 298 patients with refractory advanced cancers and BRCA 1 or 2 mutations treated with olaparib [400 mg twice daily], the overall objective response rate was 26% and was higher in women with ovarian [31%] than breast cancer [13%]; there were no liver related serious adverse events).</w:t>
      </w:r>
    </w:p>
    <w:p w14:paraId="6A244D3A" w14:textId="51BAB94C" w:rsidR="00336AF3" w:rsidRPr="00B51CCE" w:rsidRDefault="00442B3D">
      <w:pPr>
        <w:pStyle w:val="Suggestedreading"/>
        <w:rPr>
          <w:sz w:val="24"/>
        </w:rPr>
      </w:pPr>
      <w:r w:rsidRPr="00B51CCE">
        <w:rPr>
          <w:sz w:val="24"/>
        </w:rPr>
        <w:t xml:space="preserve">Gunderson CC, Moore KN. Olaparib: an oral PARP-1 and PARP-2 inhibitor with promising activity in ovarian cancer. Future Oncol 2015; 11: 747-57. </w:t>
      </w:r>
      <w:r w:rsidR="00463F99">
        <w:rPr>
          <w:sz w:val="24"/>
        </w:rPr>
        <w:t>PMID:</w:t>
      </w:r>
      <w:r w:rsidRPr="00B51CCE">
        <w:rPr>
          <w:sz w:val="24"/>
        </w:rPr>
        <w:t xml:space="preserve"> 25757679</w:t>
      </w:r>
    </w:p>
    <w:p w14:paraId="0DB39572" w14:textId="77777777" w:rsidR="00336AF3" w:rsidRPr="00B51CCE" w:rsidRDefault="00442B3D" w:rsidP="00D43A86">
      <w:pPr>
        <w:pStyle w:val="Reference-annotation"/>
        <w:rPr>
          <w:i/>
          <w:sz w:val="24"/>
        </w:rPr>
      </w:pPr>
      <w:r w:rsidRPr="00B51CCE">
        <w:rPr>
          <w:i/>
          <w:sz w:val="24"/>
        </w:rPr>
        <w:t>(Review of the development, mechanism of action, clinical efficacy and safety of olaparib in ovarian cancer; mentions that the most frequent adverse events are gastrointestinal toxicity and myelosuppression; no mention of ALT elevations or hepatotoxicity).</w:t>
      </w:r>
    </w:p>
    <w:p w14:paraId="3D78F50E" w14:textId="036371DA" w:rsidR="00336AF3" w:rsidRPr="00B51CCE" w:rsidRDefault="00442B3D">
      <w:pPr>
        <w:pStyle w:val="Suggestedreading"/>
        <w:rPr>
          <w:sz w:val="24"/>
        </w:rPr>
      </w:pPr>
      <w:r w:rsidRPr="00B51CCE">
        <w:rPr>
          <w:sz w:val="24"/>
        </w:rPr>
        <w:t xml:space="preserve">Bao Z, Cao C, Geng X, Tian B, Wu Y, Zhang C, Chen Z, Li W, et al. Effectiveness and safety of poly (ADP-ribose) polymerase inhibitors in cancer therapy: A systematic review and meta-analysis. Oncotarget 2016; 7: 7629-39. </w:t>
      </w:r>
      <w:r w:rsidR="00463F99">
        <w:rPr>
          <w:sz w:val="24"/>
        </w:rPr>
        <w:t>PMID:</w:t>
      </w:r>
      <w:r w:rsidRPr="00B51CCE">
        <w:rPr>
          <w:sz w:val="24"/>
        </w:rPr>
        <w:t xml:space="preserve"> 26399274</w:t>
      </w:r>
    </w:p>
    <w:p w14:paraId="645DEE3B" w14:textId="77777777" w:rsidR="00336AF3" w:rsidRPr="00B51CCE" w:rsidRDefault="00442B3D" w:rsidP="00D43A86">
      <w:pPr>
        <w:pStyle w:val="Reference-annotation"/>
        <w:rPr>
          <w:i/>
          <w:sz w:val="24"/>
        </w:rPr>
      </w:pPr>
      <w:r w:rsidRPr="00B51CCE">
        <w:rPr>
          <w:i/>
          <w:sz w:val="24"/>
        </w:rPr>
        <w:t>(Systematic review of the efficacy and safety of PARP inhibitors in cancer chemotherapy mentioned that in 5 placebo controlled trials, ALT elevations were no more frequent with the PARP inhibitors than in “controls”, but neither were any other adverse events).</w:t>
      </w:r>
    </w:p>
    <w:p w14:paraId="0289269A" w14:textId="1913787D" w:rsidR="00336AF3" w:rsidRPr="00B51CCE" w:rsidRDefault="00442B3D">
      <w:pPr>
        <w:pStyle w:val="Suggestedreading"/>
        <w:rPr>
          <w:sz w:val="24"/>
        </w:rPr>
      </w:pPr>
      <w:r w:rsidRPr="00B51CCE">
        <w:rPr>
          <w:sz w:val="24"/>
        </w:rPr>
        <w:t xml:space="preserve">Konecny GE, Kristeleit RS. PARP inhibitors for BRCA1/2-mutated and sporadic ovarian cancer: current practice and future directions. Br J Cancer 2016; 115: 1157-73. </w:t>
      </w:r>
      <w:r w:rsidR="00463F99">
        <w:rPr>
          <w:sz w:val="24"/>
        </w:rPr>
        <w:t>PMID:</w:t>
      </w:r>
      <w:r w:rsidRPr="00B51CCE">
        <w:rPr>
          <w:sz w:val="24"/>
        </w:rPr>
        <w:t xml:space="preserve"> 27736844</w:t>
      </w:r>
    </w:p>
    <w:p w14:paraId="629A9B44" w14:textId="77777777" w:rsidR="00336AF3" w:rsidRPr="00B51CCE" w:rsidRDefault="00442B3D" w:rsidP="00D43A86">
      <w:pPr>
        <w:pStyle w:val="Reference-annotation"/>
        <w:rPr>
          <w:i/>
          <w:sz w:val="24"/>
        </w:rPr>
      </w:pPr>
      <w:r w:rsidRPr="00B51CCE">
        <w:rPr>
          <w:i/>
          <w:sz w:val="24"/>
        </w:rPr>
        <w:t>(Review of role of BRCA 1 and 2 mutations in tumorigenesis and the mechanism of action of PARP inhibitors).</w:t>
      </w:r>
    </w:p>
    <w:p w14:paraId="604357D2" w14:textId="1B02010B" w:rsidR="00336AF3" w:rsidRPr="00B51CCE" w:rsidRDefault="00442B3D">
      <w:pPr>
        <w:pStyle w:val="Suggestedreading"/>
        <w:rPr>
          <w:sz w:val="24"/>
        </w:rPr>
      </w:pPr>
      <w:r w:rsidRPr="00C66388">
        <w:rPr>
          <w:sz w:val="24"/>
        </w:rPr>
        <w:t xml:space="preserve">Ledermann JA. PARP inhibitors in ovarian cancer. </w:t>
      </w:r>
      <w:r w:rsidRPr="00B51CCE">
        <w:rPr>
          <w:sz w:val="24"/>
        </w:rPr>
        <w:t xml:space="preserve">Ann Oncol 2016; 27 Suppl 1: i40-i44. </w:t>
      </w:r>
      <w:r w:rsidR="00463F99">
        <w:rPr>
          <w:sz w:val="24"/>
        </w:rPr>
        <w:t>PMID:</w:t>
      </w:r>
      <w:r w:rsidRPr="00B51CCE">
        <w:rPr>
          <w:sz w:val="24"/>
        </w:rPr>
        <w:t xml:space="preserve"> 27141070</w:t>
      </w:r>
    </w:p>
    <w:p w14:paraId="128CF526" w14:textId="77777777" w:rsidR="00336AF3" w:rsidRPr="00B51CCE" w:rsidRDefault="00442B3D" w:rsidP="00D43A86">
      <w:pPr>
        <w:pStyle w:val="Reference-annotation"/>
        <w:rPr>
          <w:i/>
          <w:sz w:val="24"/>
        </w:rPr>
      </w:pPr>
      <w:r w:rsidRPr="00B51CCE">
        <w:rPr>
          <w:i/>
          <w:sz w:val="24"/>
        </w:rPr>
        <w:t>(Review of possible role of PARP inhibitors in ovarian cancer; mentions that cells with defective BRCA proteins are deficient in repair of double-stranded breaks in DNA by homologous recombination and rely on other pathways, notably PARP that detects single DNA strand breaks and activates effector proteins to initiate repair).</w:t>
      </w:r>
    </w:p>
    <w:p w14:paraId="44A56ED3" w14:textId="36EECE3A" w:rsidR="00336AF3" w:rsidRPr="00B51CCE" w:rsidRDefault="00442B3D">
      <w:pPr>
        <w:pStyle w:val="Suggestedreading"/>
        <w:rPr>
          <w:sz w:val="24"/>
        </w:rPr>
      </w:pPr>
      <w:r w:rsidRPr="00C66388">
        <w:rPr>
          <w:sz w:val="24"/>
        </w:rPr>
        <w:lastRenderedPageBreak/>
        <w:t xml:space="preserve">Ledermann JA, Harter P, Gourley C, Friedlander M, Vergote I, Rustin G, Scott C, et al. </w:t>
      </w:r>
      <w:r w:rsidRPr="00B51CCE">
        <w:rPr>
          <w:sz w:val="24"/>
        </w:rPr>
        <w:t xml:space="preserve">Overall survival in patients with platinum-sensitive recurrent serous ovarian cancer receiving olaparib maintenance monotherapy: an updated analysis from a randomised, placebo-controlled, double-blind, phase 2 trial. Lancet Oncol 2016; 17: 1579-89. </w:t>
      </w:r>
      <w:r w:rsidR="00463F99">
        <w:rPr>
          <w:sz w:val="24"/>
        </w:rPr>
        <w:t>PMID:</w:t>
      </w:r>
      <w:r w:rsidRPr="00B51CCE">
        <w:rPr>
          <w:sz w:val="24"/>
        </w:rPr>
        <w:t xml:space="preserve"> 27617661</w:t>
      </w:r>
    </w:p>
    <w:p w14:paraId="19995B16" w14:textId="77777777" w:rsidR="00336AF3" w:rsidRPr="00B51CCE" w:rsidRDefault="00442B3D" w:rsidP="00D43A86">
      <w:pPr>
        <w:pStyle w:val="Reference-annotation"/>
        <w:rPr>
          <w:i/>
          <w:sz w:val="24"/>
        </w:rPr>
      </w:pPr>
      <w:r w:rsidRPr="00B51CCE">
        <w:rPr>
          <w:i/>
          <w:sz w:val="24"/>
        </w:rPr>
        <w:t>(Among 265 women with platinum-sensitive recurrent ovarian carcinoma treated with olaparib [400 mg twice daily] or placebo [Ledermann 2012], 5 year follow up showed little effect on median overall survival [29.8 vs 27.8 months]; there were no liver related severe adverse events requiring discontinuation).</w:t>
      </w:r>
    </w:p>
    <w:p w14:paraId="2B482AF1" w14:textId="026A48A3" w:rsidR="00336AF3" w:rsidRPr="00B51CCE" w:rsidRDefault="00442B3D">
      <w:pPr>
        <w:pStyle w:val="Suggestedreading"/>
        <w:rPr>
          <w:sz w:val="24"/>
        </w:rPr>
      </w:pPr>
      <w:r w:rsidRPr="00B51CCE">
        <w:rPr>
          <w:sz w:val="24"/>
        </w:rPr>
        <w:t xml:space="preserve">Olaparib (Lynparza) for advanced ovarian cancer. </w:t>
      </w:r>
      <w:r w:rsidRPr="00C66388">
        <w:rPr>
          <w:sz w:val="24"/>
        </w:rPr>
        <w:t xml:space="preserve">Med Lett Drugs Ther 2016; 58 (1489): e32-3. </w:t>
      </w:r>
      <w:r w:rsidR="00463F99">
        <w:rPr>
          <w:sz w:val="24"/>
        </w:rPr>
        <w:t>PMID:</w:t>
      </w:r>
      <w:r w:rsidRPr="00C66388">
        <w:rPr>
          <w:sz w:val="24"/>
        </w:rPr>
        <w:t xml:space="preserve"> </w:t>
      </w:r>
      <w:r w:rsidRPr="00B51CCE">
        <w:rPr>
          <w:sz w:val="24"/>
        </w:rPr>
        <w:t>26938702</w:t>
      </w:r>
    </w:p>
    <w:p w14:paraId="0AA43220" w14:textId="77777777" w:rsidR="00336AF3" w:rsidRPr="00B51CCE" w:rsidRDefault="00442B3D" w:rsidP="00D43A86">
      <w:pPr>
        <w:pStyle w:val="Reference-annotation"/>
        <w:rPr>
          <w:i/>
          <w:sz w:val="24"/>
        </w:rPr>
      </w:pPr>
      <w:r w:rsidRPr="00B51CCE">
        <w:rPr>
          <w:i/>
          <w:sz w:val="24"/>
        </w:rPr>
        <w:t>(Concise review of the mechanism of action, clinically efficacy, safety and costs of olaparib shortly after its approval in the US; does not mention ALT elevations or hepatotoxicity).</w:t>
      </w:r>
    </w:p>
    <w:p w14:paraId="5823AF8B" w14:textId="42714638" w:rsidR="00336AF3" w:rsidRPr="00B51CCE" w:rsidRDefault="00442B3D">
      <w:pPr>
        <w:pStyle w:val="Suggestedreading"/>
        <w:rPr>
          <w:sz w:val="24"/>
        </w:rPr>
      </w:pPr>
      <w:r w:rsidRPr="00B51CCE">
        <w:rPr>
          <w:sz w:val="24"/>
        </w:rPr>
        <w:t xml:space="preserve">Domchek SM, Aghajanian C, Shapira-Frommer R, Schmutzler RK, Audeh MW, Friedlander M, Balmaña J, et al. Efficacy and safety of olaparib monotherapy in germline BRCA1/2 mutation carriers with advanced ovarian cancer and three or more lines of prior therapy. Gynecol Oncol 2016; 140: 199-203. </w:t>
      </w:r>
      <w:r w:rsidR="00463F99">
        <w:rPr>
          <w:sz w:val="24"/>
        </w:rPr>
        <w:t>PMID:</w:t>
      </w:r>
      <w:r w:rsidRPr="00B51CCE">
        <w:rPr>
          <w:sz w:val="24"/>
        </w:rPr>
        <w:t xml:space="preserve"> 26723501</w:t>
      </w:r>
    </w:p>
    <w:p w14:paraId="6C1250FE" w14:textId="77777777" w:rsidR="00336AF3" w:rsidRPr="00B51CCE" w:rsidRDefault="00442B3D" w:rsidP="00D43A86">
      <w:pPr>
        <w:pStyle w:val="Reference-annotation"/>
        <w:rPr>
          <w:i/>
          <w:sz w:val="24"/>
        </w:rPr>
      </w:pPr>
      <w:r w:rsidRPr="00B51CCE">
        <w:rPr>
          <w:i/>
          <w:sz w:val="24"/>
        </w:rPr>
        <w:t>(Among 193 women with BRCA 1 or 2 mutations and advanced refractory ovarian cancer treated with olaparib [400 mg twice daily], 34% had an objective response and side effects were common, but only 3 patients [2%] developed ALT elevations above 5 times ULN and none had clinically apparent liver injury).</w:t>
      </w:r>
    </w:p>
    <w:p w14:paraId="6AE0BE4E" w14:textId="77777777" w:rsidR="00302A09" w:rsidRPr="00C66388" w:rsidRDefault="00302A09" w:rsidP="00C66388">
      <w:pPr>
        <w:pStyle w:val="Suggestedreading"/>
        <w:rPr>
          <w:sz w:val="24"/>
        </w:rPr>
      </w:pPr>
      <w:r w:rsidRPr="00C66388">
        <w:rPr>
          <w:sz w:val="24"/>
        </w:rPr>
        <w:t>Bang YJ, Xu RH, Chin K, Lee KW, Park SH, Rha SY, Shen L, et al. Olaparib in combination with paclitaxel in patients with advanced gastric cancer who have progressed following first-line therapy (GOLD): a double-blind, randomised, placebo-controlled, phase 3 trial. Lancet Oncol. 2017;18:1637-1651. PMID: 29103871</w:t>
      </w:r>
    </w:p>
    <w:p w14:paraId="4AF1A348" w14:textId="58184D27" w:rsidR="00302A09" w:rsidRPr="00C66388" w:rsidRDefault="00302A09" w:rsidP="00C66388">
      <w:pPr>
        <w:pStyle w:val="Reference-annotation"/>
        <w:rPr>
          <w:i/>
          <w:sz w:val="24"/>
        </w:rPr>
      </w:pPr>
      <w:r w:rsidRPr="00C66388">
        <w:rPr>
          <w:i/>
          <w:sz w:val="24"/>
        </w:rPr>
        <w:t>(</w:t>
      </w:r>
      <w:r w:rsidR="005D3235" w:rsidRPr="00C66388">
        <w:rPr>
          <w:i/>
          <w:sz w:val="24"/>
        </w:rPr>
        <w:t>Among 525 Asian adults with advanced, refractory gastric cancer treated with paclitaxel with either olaparib [100 mg] or placebo twice daily, median overall survival was similar in both groups [8.8 vs 6.9 months] but serious adverse events were more frequent with olaparib [35% vs 25%] including ALT elevations in 12% vs 6%, above 5 times ULN in 1.5% vs 0.7%, and 1 olaparib recipient died of acute liver failure [no details provided]</w:t>
      </w:r>
      <w:r w:rsidRPr="00C66388">
        <w:rPr>
          <w:i/>
          <w:sz w:val="24"/>
        </w:rPr>
        <w:t>).</w:t>
      </w:r>
    </w:p>
    <w:p w14:paraId="3311DF31" w14:textId="77777777" w:rsidR="00302A09" w:rsidRPr="00C66388" w:rsidRDefault="00302A09" w:rsidP="00C66388">
      <w:pPr>
        <w:pStyle w:val="Suggestedreading"/>
        <w:rPr>
          <w:sz w:val="24"/>
        </w:rPr>
      </w:pPr>
      <w:r w:rsidRPr="00C66388">
        <w:rPr>
          <w:sz w:val="24"/>
        </w:rPr>
        <w:t>Tufoni M, Serena Ricci C, Zaccherini G. A case of immune-mediated liver injury induced by olaparib. Hepatology. 2018;68:2039-2041. PMID: 30070367.</w:t>
      </w:r>
    </w:p>
    <w:p w14:paraId="4FAC3311" w14:textId="29C9475D" w:rsidR="00302A09" w:rsidRPr="00C66388" w:rsidRDefault="00302A09" w:rsidP="00C66388">
      <w:pPr>
        <w:pStyle w:val="Reference-annotation"/>
        <w:rPr>
          <w:i/>
          <w:sz w:val="24"/>
        </w:rPr>
      </w:pPr>
      <w:r w:rsidRPr="00C66388">
        <w:rPr>
          <w:i/>
          <w:sz w:val="24"/>
        </w:rPr>
        <w:t>(</w:t>
      </w:r>
      <w:r w:rsidR="00DA7707" w:rsidRPr="00C66388">
        <w:rPr>
          <w:i/>
          <w:sz w:val="24"/>
        </w:rPr>
        <w:t xml:space="preserve">61 year old Italian woman with ovarian cancer developed abnormal liver tests 3 months after starting olaparib </w:t>
      </w:r>
      <w:r w:rsidR="00431281" w:rsidRPr="00C66388">
        <w:rPr>
          <w:i/>
          <w:sz w:val="24"/>
        </w:rPr>
        <w:t>[</w:t>
      </w:r>
      <w:r w:rsidR="00DA7707" w:rsidRPr="00C66388">
        <w:rPr>
          <w:i/>
          <w:sz w:val="24"/>
        </w:rPr>
        <w:t>bilirubin 1.7 rising to 3.8 mg/dL, ALT 1453 U/L, Alk P 275 U/L, GG</w:t>
      </w:r>
      <w:r w:rsidR="00431281" w:rsidRPr="00C66388">
        <w:rPr>
          <w:i/>
          <w:sz w:val="24"/>
        </w:rPr>
        <w:t>T</w:t>
      </w:r>
      <w:r w:rsidR="00DA7707" w:rsidRPr="00C66388">
        <w:rPr>
          <w:i/>
          <w:sz w:val="24"/>
        </w:rPr>
        <w:t xml:space="preserve"> 364 U/L</w:t>
      </w:r>
      <w:r w:rsidR="00431281" w:rsidRPr="00C66388">
        <w:rPr>
          <w:i/>
          <w:sz w:val="24"/>
        </w:rPr>
        <w:t>, ANA 1:160]</w:t>
      </w:r>
      <w:r w:rsidR="00DA7707" w:rsidRPr="00C66388">
        <w:rPr>
          <w:i/>
          <w:sz w:val="24"/>
        </w:rPr>
        <w:t xml:space="preserve"> and </w:t>
      </w:r>
      <w:r w:rsidR="00431281" w:rsidRPr="00C66388">
        <w:rPr>
          <w:i/>
          <w:sz w:val="24"/>
        </w:rPr>
        <w:t xml:space="preserve">liver </w:t>
      </w:r>
      <w:r w:rsidR="00DA7707" w:rsidRPr="00C66388">
        <w:rPr>
          <w:i/>
          <w:sz w:val="24"/>
        </w:rPr>
        <w:t xml:space="preserve">biopsy showing acute hepatitis with eosinophils and rare plasma cells, </w:t>
      </w:r>
      <w:r w:rsidR="00DA7707" w:rsidRPr="00C66388">
        <w:rPr>
          <w:i/>
          <w:sz w:val="24"/>
        </w:rPr>
        <w:lastRenderedPageBreak/>
        <w:t xml:space="preserve">enzymes rapidly improving with prednisone </w:t>
      </w:r>
      <w:r w:rsidR="00FF0F45" w:rsidRPr="00C66388">
        <w:rPr>
          <w:i/>
          <w:sz w:val="24"/>
        </w:rPr>
        <w:t xml:space="preserve">therapy, </w:t>
      </w:r>
      <w:r w:rsidR="00DA7707" w:rsidRPr="00C66388">
        <w:rPr>
          <w:i/>
          <w:sz w:val="24"/>
        </w:rPr>
        <w:t xml:space="preserve">and all tests falling to normal within 2 months </w:t>
      </w:r>
      <w:r w:rsidR="00431281" w:rsidRPr="00C66388">
        <w:rPr>
          <w:i/>
          <w:sz w:val="24"/>
        </w:rPr>
        <w:t xml:space="preserve">and remaining normal </w:t>
      </w:r>
      <w:r w:rsidR="00DA7707" w:rsidRPr="00C66388">
        <w:rPr>
          <w:i/>
          <w:sz w:val="24"/>
        </w:rPr>
        <w:t>despite stopping corticosteroids</w:t>
      </w:r>
      <w:r w:rsidRPr="00C66388">
        <w:rPr>
          <w:i/>
          <w:sz w:val="24"/>
        </w:rPr>
        <w:t>).</w:t>
      </w:r>
    </w:p>
    <w:p w14:paraId="1C2FEBF8" w14:textId="77777777" w:rsidR="00302A09" w:rsidRPr="00C66388" w:rsidRDefault="00302A09" w:rsidP="00C66388">
      <w:pPr>
        <w:pStyle w:val="Suggestedreading"/>
        <w:rPr>
          <w:sz w:val="24"/>
        </w:rPr>
      </w:pPr>
      <w:r w:rsidRPr="00C66388">
        <w:rPr>
          <w:sz w:val="24"/>
        </w:rPr>
        <w:t>Rolfo C, Isambert N, Italiano A, Molife LR, Schellens JHM, Blay JY, Decaens T, et al. Pharmacokinetics and safety of olaparib in patients with advanced solid tumours and mild or moderate hepatic impairment. Br J Clin Pharmacol. 2020;86:1807-1818. PMID: 32227355</w:t>
      </w:r>
    </w:p>
    <w:p w14:paraId="757C45EF" w14:textId="60A398F1" w:rsidR="00302A09" w:rsidRPr="00C66388" w:rsidRDefault="00302A09" w:rsidP="00C66388">
      <w:pPr>
        <w:pStyle w:val="Reference-annotation"/>
        <w:rPr>
          <w:i/>
          <w:sz w:val="24"/>
        </w:rPr>
      </w:pPr>
      <w:r w:rsidRPr="00C66388">
        <w:rPr>
          <w:i/>
          <w:sz w:val="24"/>
        </w:rPr>
        <w:t>(</w:t>
      </w:r>
      <w:r w:rsidR="00431281" w:rsidRPr="00C66388">
        <w:rPr>
          <w:i/>
          <w:sz w:val="24"/>
        </w:rPr>
        <w:t>Pharmacokinetic study in 3</w:t>
      </w:r>
      <w:r w:rsidR="00C3734B" w:rsidRPr="00C66388">
        <w:rPr>
          <w:i/>
          <w:sz w:val="24"/>
        </w:rPr>
        <w:t>1</w:t>
      </w:r>
      <w:r w:rsidR="00431281" w:rsidRPr="00C66388">
        <w:rPr>
          <w:i/>
          <w:sz w:val="24"/>
        </w:rPr>
        <w:t xml:space="preserve"> patients with advanced cancer </w:t>
      </w:r>
      <w:r w:rsidR="00C3734B" w:rsidRPr="00C66388">
        <w:rPr>
          <w:i/>
          <w:sz w:val="24"/>
        </w:rPr>
        <w:t>with or without</w:t>
      </w:r>
      <w:r w:rsidR="00431281" w:rsidRPr="00C66388">
        <w:rPr>
          <w:i/>
          <w:sz w:val="24"/>
        </w:rPr>
        <w:t xml:space="preserve"> liver disease found no differences in peak olaparib levels </w:t>
      </w:r>
      <w:r w:rsidR="00C3734B" w:rsidRPr="00C66388">
        <w:rPr>
          <w:i/>
          <w:sz w:val="24"/>
        </w:rPr>
        <w:t xml:space="preserve">or total concentration </w:t>
      </w:r>
      <w:r w:rsidR="00431281" w:rsidRPr="00C66388">
        <w:rPr>
          <w:i/>
          <w:sz w:val="24"/>
        </w:rPr>
        <w:t xml:space="preserve">in patients with either mild or moderate </w:t>
      </w:r>
      <w:r w:rsidR="00953420" w:rsidRPr="00C66388">
        <w:rPr>
          <w:i/>
          <w:sz w:val="24"/>
        </w:rPr>
        <w:t xml:space="preserve">hepatic </w:t>
      </w:r>
      <w:r w:rsidR="00431281" w:rsidRPr="00C66388">
        <w:rPr>
          <w:i/>
          <w:sz w:val="24"/>
        </w:rPr>
        <w:t>impairment</w:t>
      </w:r>
      <w:r w:rsidR="00C3734B" w:rsidRPr="00C66388">
        <w:rPr>
          <w:i/>
          <w:sz w:val="24"/>
        </w:rPr>
        <w:t xml:space="preserve"> compared to controls without liver abnormalities</w:t>
      </w:r>
      <w:r w:rsidRPr="00C66388">
        <w:rPr>
          <w:i/>
          <w:sz w:val="24"/>
        </w:rPr>
        <w:t>).</w:t>
      </w:r>
    </w:p>
    <w:p w14:paraId="3B93CE8C" w14:textId="77777777" w:rsidR="00302A09" w:rsidRPr="00C66388" w:rsidRDefault="00302A09" w:rsidP="00C66388">
      <w:pPr>
        <w:pStyle w:val="Suggestedreading"/>
        <w:rPr>
          <w:sz w:val="24"/>
        </w:rPr>
      </w:pPr>
      <w:r w:rsidRPr="00C66388">
        <w:rPr>
          <w:sz w:val="24"/>
        </w:rPr>
        <w:t>Alshelleh M, Park J, John V, Rishi A, Bernstein D, Roth N. Olaparib-induced immune-mediated liver injury. ACG Case Rep J. 2022;9:e00735. PMID: 35028326</w:t>
      </w:r>
    </w:p>
    <w:p w14:paraId="306799EA" w14:textId="793998C7" w:rsidR="00302A09" w:rsidRPr="00C66388" w:rsidRDefault="00302A09" w:rsidP="00C66388">
      <w:pPr>
        <w:pStyle w:val="Reference-annotation"/>
        <w:rPr>
          <w:i/>
          <w:sz w:val="24"/>
        </w:rPr>
      </w:pPr>
      <w:r w:rsidRPr="00C66388">
        <w:rPr>
          <w:i/>
          <w:sz w:val="24"/>
        </w:rPr>
        <w:t>(</w:t>
      </w:r>
      <w:r w:rsidR="00991975" w:rsidRPr="00C66388">
        <w:rPr>
          <w:i/>
          <w:sz w:val="24"/>
        </w:rPr>
        <w:t>56 year old woman with endometrial cancer developed jaundice 3.5 months after starting olaparib [bilirubin 11.4 mg/dL, ALT 3350 U/L, Alk P 215 U/L, INR 1.9], biopsy showing submassive necrosis</w:t>
      </w:r>
      <w:r w:rsidR="00554254" w:rsidRPr="00C66388">
        <w:rPr>
          <w:i/>
          <w:sz w:val="24"/>
        </w:rPr>
        <w:t xml:space="preserve">; prednisone therapy led to </w:t>
      </w:r>
      <w:r w:rsidR="00991975" w:rsidRPr="00C66388">
        <w:rPr>
          <w:i/>
          <w:sz w:val="24"/>
        </w:rPr>
        <w:t xml:space="preserve">rapid </w:t>
      </w:r>
      <w:r w:rsidR="00953420" w:rsidRPr="00C66388">
        <w:rPr>
          <w:i/>
          <w:sz w:val="24"/>
        </w:rPr>
        <w:t xml:space="preserve">improvement, and all liver tests were </w:t>
      </w:r>
      <w:r w:rsidR="00FF2D47" w:rsidRPr="00C66388">
        <w:rPr>
          <w:i/>
          <w:sz w:val="24"/>
        </w:rPr>
        <w:t>normal 2 months</w:t>
      </w:r>
      <w:r w:rsidR="00953420" w:rsidRPr="00C66388">
        <w:rPr>
          <w:i/>
          <w:sz w:val="24"/>
        </w:rPr>
        <w:t xml:space="preserve"> later and </w:t>
      </w:r>
      <w:r w:rsidR="00FF2D47" w:rsidRPr="00C66388">
        <w:rPr>
          <w:i/>
          <w:sz w:val="24"/>
        </w:rPr>
        <w:t>remained normal after stopping corticosteroids</w:t>
      </w:r>
      <w:r w:rsidRPr="00C66388">
        <w:rPr>
          <w:i/>
          <w:sz w:val="24"/>
        </w:rPr>
        <w:t>).</w:t>
      </w:r>
    </w:p>
    <w:p w14:paraId="118883AC" w14:textId="3343E0EF" w:rsidR="00302A09" w:rsidRPr="00C66388" w:rsidRDefault="00302A09" w:rsidP="00C66388">
      <w:pPr>
        <w:pStyle w:val="Suggestedreading"/>
        <w:rPr>
          <w:sz w:val="24"/>
        </w:rPr>
      </w:pPr>
      <w:r w:rsidRPr="00C66388">
        <w:rPr>
          <w:sz w:val="24"/>
        </w:rPr>
        <w:t xml:space="preserve">Zhu K, Drew Y, Jayakumar S. Challenges in PARP inhibitor therapy: A case of </w:t>
      </w:r>
      <w:r w:rsidR="007D228D" w:rsidRPr="00C66388">
        <w:rPr>
          <w:sz w:val="24"/>
        </w:rPr>
        <w:t>o</w:t>
      </w:r>
      <w:r w:rsidRPr="00C66388">
        <w:rPr>
          <w:sz w:val="24"/>
        </w:rPr>
        <w:t xml:space="preserve">laparib-induced liver injury and successful rechallenge with </w:t>
      </w:r>
      <w:r w:rsidR="007D228D" w:rsidRPr="00C66388">
        <w:rPr>
          <w:sz w:val="24"/>
        </w:rPr>
        <w:t>n</w:t>
      </w:r>
      <w:r w:rsidRPr="00C66388">
        <w:rPr>
          <w:sz w:val="24"/>
        </w:rPr>
        <w:t>iraparib. Gynecol Oncol Rep. 2024;54:101439. PMID: 39035031</w:t>
      </w:r>
    </w:p>
    <w:p w14:paraId="3D3012E9" w14:textId="3E631531" w:rsidR="00302A09" w:rsidRPr="00C66388" w:rsidRDefault="00302A09" w:rsidP="00C66388">
      <w:pPr>
        <w:pStyle w:val="Reference-annotation"/>
        <w:rPr>
          <w:i/>
          <w:sz w:val="24"/>
        </w:rPr>
      </w:pPr>
      <w:r w:rsidRPr="00C66388">
        <w:rPr>
          <w:i/>
          <w:sz w:val="24"/>
        </w:rPr>
        <w:t>(</w:t>
      </w:r>
      <w:r w:rsidR="00E672F8" w:rsidRPr="00C66388">
        <w:rPr>
          <w:i/>
          <w:sz w:val="24"/>
        </w:rPr>
        <w:t>70 year old woman with ovarian cancer developed serum enzyme abnormalities without jaundice or symptoms 3 months after starting olaparib, 300 mg twice daily</w:t>
      </w:r>
      <w:r w:rsidR="00953420" w:rsidRPr="00C66388">
        <w:rPr>
          <w:i/>
          <w:sz w:val="24"/>
        </w:rPr>
        <w:t>,</w:t>
      </w:r>
      <w:r w:rsidR="00E672F8" w:rsidRPr="00C66388">
        <w:rPr>
          <w:i/>
          <w:sz w:val="24"/>
        </w:rPr>
        <w:t xml:space="preserve"> [bilirubin 0.6 mg/dL, ALT 871 U/L, Alk P 163 U/L, GGT 139 U/L], improving on stopping but worsening again on restarting a</w:t>
      </w:r>
      <w:r w:rsidR="00554254" w:rsidRPr="00C66388">
        <w:rPr>
          <w:i/>
          <w:sz w:val="24"/>
        </w:rPr>
        <w:t>t</w:t>
      </w:r>
      <w:r w:rsidR="00E672F8" w:rsidRPr="00C66388">
        <w:rPr>
          <w:i/>
          <w:sz w:val="24"/>
        </w:rPr>
        <w:t xml:space="preserve"> </w:t>
      </w:r>
      <w:r w:rsidR="00953420" w:rsidRPr="00C66388">
        <w:rPr>
          <w:i/>
          <w:sz w:val="24"/>
        </w:rPr>
        <w:t>half</w:t>
      </w:r>
      <w:r w:rsidR="00E672F8" w:rsidRPr="00C66388">
        <w:rPr>
          <w:i/>
          <w:sz w:val="24"/>
        </w:rPr>
        <w:t xml:space="preserve"> dose [ALT 878 U/L, bilirubin 2.8 mg/dL], resolving again on stopping, and not recurring on </w:t>
      </w:r>
      <w:r w:rsidR="00953420" w:rsidRPr="00C66388">
        <w:rPr>
          <w:i/>
          <w:sz w:val="24"/>
        </w:rPr>
        <w:t>niraparib</w:t>
      </w:r>
      <w:r w:rsidRPr="00C66388">
        <w:rPr>
          <w:i/>
          <w:sz w:val="24"/>
        </w:rPr>
        <w:t>).</w:t>
      </w:r>
    </w:p>
    <w:p w14:paraId="15BA16E3" w14:textId="77777777" w:rsidR="00336AF3" w:rsidRDefault="00336AF3"/>
    <w:p w14:paraId="1F0CCAA0" w14:textId="77777777" w:rsidR="00336AF3" w:rsidRDefault="00336AF3"/>
    <w:p w14:paraId="48C60C87" w14:textId="77777777" w:rsidR="003A5039" w:rsidRDefault="00F5422D" w:rsidP="00237B2B">
      <w:pPr>
        <w:pStyle w:val="Heading2"/>
      </w:pPr>
      <w:bookmarkStart w:id="14" w:name="Olaparib.OTHER_REFERENCE_LINKS"/>
      <w:r>
        <w:t>OTHER REFERENCE LINKS</w:t>
      </w:r>
      <w:bookmarkEnd w:id="14"/>
    </w:p>
    <w:p w14:paraId="70DB7DEB" w14:textId="77777777" w:rsidR="0054520A" w:rsidRPr="00EE6350" w:rsidRDefault="00442B3D" w:rsidP="00EE6350">
      <w:pPr>
        <w:pStyle w:val="Processinginstruction"/>
      </w:pPr>
      <w:r>
        <w:t>&lt;?sec-type link-group?&gt;</w:t>
      </w:r>
    </w:p>
    <w:p w14:paraId="2F7A8946" w14:textId="6BBD81CC" w:rsidR="003A5039" w:rsidRDefault="00F5422D" w:rsidP="00237B2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rPr>
      </w:pPr>
      <w:hyperlink r:id="rId12" w:history="1">
        <w:r>
          <w:rPr>
            <w:rStyle w:val="Hyperlink"/>
          </w:rPr>
          <w:t>Recent References on Olaparib: from PubMed.gov</w:t>
        </w:r>
      </w:hyperlink>
    </w:p>
    <w:p w14:paraId="0AF1014C" w14:textId="62DBC435" w:rsidR="003A5039" w:rsidRDefault="00F5422D" w:rsidP="00237B2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rPr>
      </w:pPr>
      <w:hyperlink r:id="rId13" w:history="1">
        <w:r>
          <w:rPr>
            <w:rStyle w:val="Hyperlink"/>
          </w:rPr>
          <w:t>Trials on Olaparib: from ClinicalTrials.gov</w:t>
        </w:r>
      </w:hyperlink>
    </w:p>
    <w:p w14:paraId="5ACB834B" w14:textId="77777777" w:rsidR="003A5039" w:rsidRDefault="00F5422D" w:rsidP="00237B2B">
      <w:pPr>
        <w:pStyle w:val="FiguresTablesBoxesSectionHeading"/>
      </w:pPr>
      <w:bookmarkStart w:id="15" w:name="Olaparib.Figures_Tables_Boxes"/>
      <w:bookmarkEnd w:id="15"/>
      <w:r>
        <w:t>Figures, Tables and Boxes Appendix (do not delete)</w:t>
      </w:r>
    </w:p>
    <w:p w14:paraId="4C78C769" w14:textId="77777777" w:rsidR="003A5039" w:rsidRDefault="00F5422D" w:rsidP="00237B2B">
      <w:pPr>
        <w:pStyle w:val="Comment"/>
        <w:spacing w:before="0" w:after="0"/>
      </w:pPr>
      <w:r>
        <w:t>Place numbered figures, tables and boxes (referred to from the main text) below.</w:t>
      </w:r>
    </w:p>
    <w:p w14:paraId="5086E7F4" w14:textId="77777777" w:rsidR="003A5039" w:rsidRDefault="00F5422D" w:rsidP="00237B2B">
      <w:pPr>
        <w:pStyle w:val="Comment"/>
        <w:spacing w:before="0" w:after="0"/>
      </w:pPr>
      <w:r>
        <w:lastRenderedPageBreak/>
        <w:t>“In-line” figures (e.g. equations) and tables should be placed within the main text in their desired final location.</w:t>
      </w:r>
    </w:p>
    <w:p w14:paraId="627D4931" w14:textId="77777777" w:rsidR="00336AF3" w:rsidRDefault="00336AF3"/>
    <w:sectPr w:rsidR="00336A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2235" w14:textId="77777777" w:rsidR="00794231" w:rsidRDefault="00794231">
      <w:r>
        <w:separator/>
      </w:r>
    </w:p>
  </w:endnote>
  <w:endnote w:type="continuationSeparator" w:id="0">
    <w:p w14:paraId="0D86CE27" w14:textId="77777777" w:rsidR="00794231" w:rsidRDefault="0079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16E2" w14:textId="77777777" w:rsidR="00794231" w:rsidRDefault="00794231">
      <w:r>
        <w:separator/>
      </w:r>
    </w:p>
  </w:footnote>
  <w:footnote w:type="continuationSeparator" w:id="0">
    <w:p w14:paraId="087C8CE1" w14:textId="77777777" w:rsidR="00794231" w:rsidRDefault="00794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A"/>
    <w:lvl w:ilvl="0" w:tplc="000003F2">
      <w:start w:val="1"/>
      <w:numFmt w:val="decimal"/>
      <w:lvlText w:val="%1."/>
      <w:lvlJc w:val="right"/>
      <w:pPr>
        <w:tabs>
          <w:tab w:val="num" w:pos="720"/>
        </w:tabs>
        <w:ind w:left="720" w:hanging="180"/>
      </w:pPr>
      <w:rPr>
        <w:rFonts w:hint="default"/>
      </w:rPr>
    </w:lvl>
    <w:lvl w:ilvl="1" w:tplc="000003F3" w:tentative="1">
      <w:start w:val="1"/>
      <w:numFmt w:val="decimal"/>
      <w:lvlText w:val="%2."/>
      <w:lvlJc w:val="right"/>
      <w:pPr>
        <w:tabs>
          <w:tab w:val="num" w:pos="1080"/>
        </w:tabs>
        <w:ind w:left="1080" w:hanging="180"/>
      </w:pPr>
      <w:rPr>
        <w:rFonts w:hint="default"/>
      </w:rPr>
    </w:lvl>
    <w:lvl w:ilvl="2" w:tplc="000003F4" w:tentative="1">
      <w:start w:val="1"/>
      <w:numFmt w:val="decimal"/>
      <w:lvlText w:val="%3."/>
      <w:lvlJc w:val="right"/>
      <w:pPr>
        <w:tabs>
          <w:tab w:val="num" w:pos="1440"/>
        </w:tabs>
        <w:ind w:left="1440" w:hanging="180"/>
      </w:pPr>
      <w:rPr>
        <w:rFonts w:hint="default"/>
      </w:rPr>
    </w:lvl>
    <w:lvl w:ilvl="3" w:tplc="000003F5" w:tentative="1">
      <w:start w:val="1"/>
      <w:numFmt w:val="decimal"/>
      <w:lvlText w:val="%4."/>
      <w:lvlJc w:val="right"/>
      <w:pPr>
        <w:tabs>
          <w:tab w:val="num" w:pos="1800"/>
        </w:tabs>
        <w:ind w:left="1800" w:hanging="180"/>
      </w:pPr>
      <w:rPr>
        <w:rFonts w:hint="default"/>
      </w:rPr>
    </w:lvl>
    <w:lvl w:ilvl="4" w:tplc="000003F6" w:tentative="1">
      <w:start w:val="1"/>
      <w:numFmt w:val="decimal"/>
      <w:lvlText w:val="%5."/>
      <w:lvlJc w:val="right"/>
      <w:pPr>
        <w:tabs>
          <w:tab w:val="num" w:pos="2160"/>
        </w:tabs>
        <w:ind w:left="2160" w:hanging="180"/>
      </w:pPr>
      <w:rPr>
        <w:rFonts w:hint="default"/>
      </w:rPr>
    </w:lvl>
    <w:lvl w:ilvl="5" w:tplc="000003F7" w:tentative="1">
      <w:start w:val="1"/>
      <w:numFmt w:val="decimal"/>
      <w:lvlText w:val="%6."/>
      <w:lvlJc w:val="right"/>
      <w:pPr>
        <w:tabs>
          <w:tab w:val="num" w:pos="2520"/>
        </w:tabs>
        <w:ind w:left="2520" w:hanging="180"/>
      </w:pPr>
      <w:rPr>
        <w:rFonts w:hint="default"/>
      </w:rPr>
    </w:lvl>
    <w:lvl w:ilvl="6" w:tplc="000003F8" w:tentative="1">
      <w:start w:val="1"/>
      <w:numFmt w:val="decimal"/>
      <w:lvlText w:val="%7."/>
      <w:lvlJc w:val="right"/>
      <w:pPr>
        <w:tabs>
          <w:tab w:val="num" w:pos="2880"/>
        </w:tabs>
        <w:ind w:left="2880" w:hanging="180"/>
      </w:pPr>
      <w:rPr>
        <w:rFonts w:hint="default"/>
      </w:rPr>
    </w:lvl>
    <w:lvl w:ilvl="7" w:tplc="000003F9" w:tentative="1">
      <w:start w:val="1"/>
      <w:numFmt w:val="decimal"/>
      <w:lvlText w:val="%8."/>
      <w:lvlJc w:val="right"/>
      <w:pPr>
        <w:tabs>
          <w:tab w:val="num" w:pos="3240"/>
        </w:tabs>
        <w:ind w:left="3240" w:hanging="180"/>
      </w:pPr>
      <w:rPr>
        <w:rFonts w:hint="default"/>
      </w:rPr>
    </w:lvl>
    <w:lvl w:ilvl="8" w:tplc="000003FA" w:tentative="1">
      <w:start w:val="1"/>
      <w:numFmt w:val="decimal"/>
      <w:lvlText w:val="%9."/>
      <w:lvlJc w:val="right"/>
      <w:pPr>
        <w:tabs>
          <w:tab w:val="num" w:pos="3600"/>
        </w:tabs>
        <w:ind w:left="3600" w:hanging="180"/>
      </w:pPr>
      <w:rPr>
        <w:rFonts w:hint="default"/>
      </w:rPr>
    </w:lvl>
  </w:abstractNum>
  <w:abstractNum w:abstractNumId="1" w15:restartNumberingAfterBreak="0">
    <w:nsid w:val="2F743DCC"/>
    <w:multiLevelType w:val="multilevel"/>
    <w:tmpl w:val="F6DCE75C"/>
    <w:lvl w:ilvl="0">
      <w:start w:val="1"/>
      <w:numFmt w:val="decimal"/>
      <w:pStyle w:val="Bulletedlist1"/>
      <w:lvlText w:val="%1."/>
      <w:lvlJc w:val="left"/>
      <w:pPr>
        <w:tabs>
          <w:tab w:val="num" w:pos="720"/>
        </w:tabs>
        <w:ind w:left="720" w:hanging="720"/>
      </w:pPr>
    </w:lvl>
    <w:lvl w:ilvl="1">
      <w:start w:val="1"/>
      <w:numFmt w:val="decimal"/>
      <w:pStyle w:val="Bulletedlist2"/>
      <w:lvlText w:val="%2."/>
      <w:lvlJc w:val="left"/>
      <w:pPr>
        <w:tabs>
          <w:tab w:val="num" w:pos="1440"/>
        </w:tabs>
        <w:ind w:left="1440" w:hanging="720"/>
      </w:pPr>
    </w:lvl>
    <w:lvl w:ilvl="2">
      <w:start w:val="1"/>
      <w:numFmt w:val="decimal"/>
      <w:pStyle w:val="Bulletedlist3"/>
      <w:lvlText w:val="%3."/>
      <w:lvlJc w:val="left"/>
      <w:pPr>
        <w:tabs>
          <w:tab w:val="num" w:pos="2160"/>
        </w:tabs>
        <w:ind w:left="2160" w:hanging="720"/>
      </w:pPr>
    </w:lvl>
    <w:lvl w:ilvl="3">
      <w:start w:val="1"/>
      <w:numFmt w:val="decimal"/>
      <w:pStyle w:val="Bulletedlist4"/>
      <w:lvlText w:val="%4."/>
      <w:lvlJc w:val="left"/>
      <w:pPr>
        <w:tabs>
          <w:tab w:val="num" w:pos="2880"/>
        </w:tabs>
        <w:ind w:left="2880" w:hanging="720"/>
      </w:pPr>
    </w:lvl>
    <w:lvl w:ilvl="4">
      <w:start w:val="1"/>
      <w:numFmt w:val="decimal"/>
      <w:pStyle w:val="Bulletedlis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75549D"/>
    <w:multiLevelType w:val="multilevel"/>
    <w:tmpl w:val="8E362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4041271">
    <w:abstractNumId w:val="0"/>
  </w:num>
  <w:num w:numId="2" w16cid:durableId="1180851022">
    <w:abstractNumId w:val="2"/>
  </w:num>
  <w:num w:numId="3" w16cid:durableId="1469973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ticleID" w:val="Chapter"/>
    <w:docVar w:name="AutoRedact State" w:val="ready"/>
    <w:docVar w:name="ex _eXtylesBuild" w:val="092018"/>
    <w:docVar w:name="ex_Citations" w:val="APComplete"/>
    <w:docVar w:name="ex_CleanUp" w:val="CleanUpComplete"/>
    <w:docVar w:name="ex_ParseBib" w:val="APComplete"/>
    <w:docVar w:name="ex_PubmedAP" w:val="APComplete"/>
    <w:docVar w:name="ex_StyleRefs" w:val="APComplete"/>
    <w:docVar w:name="ex_WordVersion" w:val="15.0"/>
    <w:docVar w:name="eXtyles" w:val="active"/>
    <w:docVar w:name="ExtylesTagDescriptors" w:val="Book|bok|Conference|conf|Edited Book|edb|Electronic|eref|Journal|jrn|Legal|lgl|Other|other|Unknown|unknown|"/>
    <w:docVar w:name="iceJABR" w:val="In-house Books"/>
    <w:docVar w:name="iceJournal" w:val="In-house Books:NCBI In-house Books"/>
    <w:docVar w:name="iceJournalName" w:val="NCBI In-house Books"/>
    <w:docVar w:name="icePublisher" w:val="NCBI Bookshelf"/>
    <w:docVar w:name="iceType" w:val="Original Article"/>
    <w:docVar w:name="ManifestID" w:val="DEMO-ID-01"/>
    <w:docVar w:name="PreEdit Up-Front Loss" w:val="complete"/>
    <w:docVar w:name="PublisherName" w:val="NCBI Bookshelf"/>
  </w:docVars>
  <w:rsids>
    <w:rsidRoot w:val="00612FBA"/>
    <w:rsid w:val="000018DF"/>
    <w:rsid w:val="00007EAE"/>
    <w:rsid w:val="00014C1C"/>
    <w:rsid w:val="00026E82"/>
    <w:rsid w:val="00032CD1"/>
    <w:rsid w:val="00033DC7"/>
    <w:rsid w:val="000374DD"/>
    <w:rsid w:val="00041CAC"/>
    <w:rsid w:val="00042902"/>
    <w:rsid w:val="000435ED"/>
    <w:rsid w:val="00046AFC"/>
    <w:rsid w:val="00047F73"/>
    <w:rsid w:val="00050066"/>
    <w:rsid w:val="0005166C"/>
    <w:rsid w:val="00063802"/>
    <w:rsid w:val="00065BCA"/>
    <w:rsid w:val="0008582D"/>
    <w:rsid w:val="00097CF8"/>
    <w:rsid w:val="000A355F"/>
    <w:rsid w:val="000B2A29"/>
    <w:rsid w:val="000B2D36"/>
    <w:rsid w:val="000B452F"/>
    <w:rsid w:val="000D2E1E"/>
    <w:rsid w:val="000D7531"/>
    <w:rsid w:val="000E075D"/>
    <w:rsid w:val="000E0A7B"/>
    <w:rsid w:val="000F34E4"/>
    <w:rsid w:val="00102C09"/>
    <w:rsid w:val="001030A7"/>
    <w:rsid w:val="00103EF3"/>
    <w:rsid w:val="00104369"/>
    <w:rsid w:val="0010482C"/>
    <w:rsid w:val="00113005"/>
    <w:rsid w:val="001244FF"/>
    <w:rsid w:val="00140A45"/>
    <w:rsid w:val="00142230"/>
    <w:rsid w:val="0014280F"/>
    <w:rsid w:val="0014638B"/>
    <w:rsid w:val="00147C00"/>
    <w:rsid w:val="00155F70"/>
    <w:rsid w:val="00161D53"/>
    <w:rsid w:val="001629A0"/>
    <w:rsid w:val="001633FA"/>
    <w:rsid w:val="00164C54"/>
    <w:rsid w:val="0017359F"/>
    <w:rsid w:val="001777F6"/>
    <w:rsid w:val="001821BF"/>
    <w:rsid w:val="00183413"/>
    <w:rsid w:val="00185AB6"/>
    <w:rsid w:val="001932B3"/>
    <w:rsid w:val="00194909"/>
    <w:rsid w:val="00197359"/>
    <w:rsid w:val="001B7E7F"/>
    <w:rsid w:val="001D148B"/>
    <w:rsid w:val="001E428B"/>
    <w:rsid w:val="001E4DDE"/>
    <w:rsid w:val="001E7227"/>
    <w:rsid w:val="001F15BD"/>
    <w:rsid w:val="001F57D9"/>
    <w:rsid w:val="00204734"/>
    <w:rsid w:val="00207804"/>
    <w:rsid w:val="00212CAD"/>
    <w:rsid w:val="00213A3C"/>
    <w:rsid w:val="00215DE2"/>
    <w:rsid w:val="00225AF5"/>
    <w:rsid w:val="00231443"/>
    <w:rsid w:val="0023615D"/>
    <w:rsid w:val="00237B2B"/>
    <w:rsid w:val="002442CD"/>
    <w:rsid w:val="00245A71"/>
    <w:rsid w:val="00247376"/>
    <w:rsid w:val="00254C0C"/>
    <w:rsid w:val="0025541C"/>
    <w:rsid w:val="00256208"/>
    <w:rsid w:val="002611DA"/>
    <w:rsid w:val="002633DD"/>
    <w:rsid w:val="00271899"/>
    <w:rsid w:val="002824D9"/>
    <w:rsid w:val="00285264"/>
    <w:rsid w:val="0028640E"/>
    <w:rsid w:val="00290239"/>
    <w:rsid w:val="00293C5E"/>
    <w:rsid w:val="002A2545"/>
    <w:rsid w:val="002A567B"/>
    <w:rsid w:val="002A7F50"/>
    <w:rsid w:val="002D0673"/>
    <w:rsid w:val="002D1AFC"/>
    <w:rsid w:val="002D216C"/>
    <w:rsid w:val="002D39BE"/>
    <w:rsid w:val="002E1C35"/>
    <w:rsid w:val="002E37D0"/>
    <w:rsid w:val="002E3F36"/>
    <w:rsid w:val="002E545F"/>
    <w:rsid w:val="002F1934"/>
    <w:rsid w:val="002F5572"/>
    <w:rsid w:val="003012B3"/>
    <w:rsid w:val="00302A09"/>
    <w:rsid w:val="00306EA8"/>
    <w:rsid w:val="00316692"/>
    <w:rsid w:val="00325C68"/>
    <w:rsid w:val="00332ADE"/>
    <w:rsid w:val="00336AF3"/>
    <w:rsid w:val="003422AF"/>
    <w:rsid w:val="003456ED"/>
    <w:rsid w:val="00350814"/>
    <w:rsid w:val="0036036B"/>
    <w:rsid w:val="00360D72"/>
    <w:rsid w:val="00364CDD"/>
    <w:rsid w:val="00381213"/>
    <w:rsid w:val="003846CC"/>
    <w:rsid w:val="003859A3"/>
    <w:rsid w:val="0039308F"/>
    <w:rsid w:val="00397291"/>
    <w:rsid w:val="003A5039"/>
    <w:rsid w:val="003B4CA5"/>
    <w:rsid w:val="003C5427"/>
    <w:rsid w:val="003C74C8"/>
    <w:rsid w:val="003E2CF2"/>
    <w:rsid w:val="003E7248"/>
    <w:rsid w:val="003F09EC"/>
    <w:rsid w:val="0040145F"/>
    <w:rsid w:val="004055B7"/>
    <w:rsid w:val="00406E77"/>
    <w:rsid w:val="00410C8D"/>
    <w:rsid w:val="0041142E"/>
    <w:rsid w:val="00412460"/>
    <w:rsid w:val="0042027A"/>
    <w:rsid w:val="00422395"/>
    <w:rsid w:val="00431281"/>
    <w:rsid w:val="00436065"/>
    <w:rsid w:val="00442B3D"/>
    <w:rsid w:val="004442B4"/>
    <w:rsid w:val="004471E6"/>
    <w:rsid w:val="00447237"/>
    <w:rsid w:val="00451BF9"/>
    <w:rsid w:val="00456CDC"/>
    <w:rsid w:val="0045724A"/>
    <w:rsid w:val="00463CC9"/>
    <w:rsid w:val="00463F99"/>
    <w:rsid w:val="0046789A"/>
    <w:rsid w:val="0047081D"/>
    <w:rsid w:val="00473B06"/>
    <w:rsid w:val="00477F8B"/>
    <w:rsid w:val="00481D83"/>
    <w:rsid w:val="00486344"/>
    <w:rsid w:val="00487F08"/>
    <w:rsid w:val="004C0B3A"/>
    <w:rsid w:val="004C578F"/>
    <w:rsid w:val="004C6F69"/>
    <w:rsid w:val="004D0175"/>
    <w:rsid w:val="004D4BDE"/>
    <w:rsid w:val="004D7185"/>
    <w:rsid w:val="004E04E2"/>
    <w:rsid w:val="004E4AB1"/>
    <w:rsid w:val="004F2231"/>
    <w:rsid w:val="004F39FD"/>
    <w:rsid w:val="004F501A"/>
    <w:rsid w:val="00502A9E"/>
    <w:rsid w:val="00503281"/>
    <w:rsid w:val="0050505E"/>
    <w:rsid w:val="00505B30"/>
    <w:rsid w:val="005075F9"/>
    <w:rsid w:val="00511822"/>
    <w:rsid w:val="00512235"/>
    <w:rsid w:val="0051661F"/>
    <w:rsid w:val="00527CAA"/>
    <w:rsid w:val="005319D1"/>
    <w:rsid w:val="00542863"/>
    <w:rsid w:val="0054520A"/>
    <w:rsid w:val="00552829"/>
    <w:rsid w:val="00553A15"/>
    <w:rsid w:val="00554254"/>
    <w:rsid w:val="00560FB1"/>
    <w:rsid w:val="005663AE"/>
    <w:rsid w:val="005835D5"/>
    <w:rsid w:val="00585614"/>
    <w:rsid w:val="00591FF4"/>
    <w:rsid w:val="00597377"/>
    <w:rsid w:val="005A1695"/>
    <w:rsid w:val="005A1D06"/>
    <w:rsid w:val="005B2DE7"/>
    <w:rsid w:val="005B56CF"/>
    <w:rsid w:val="005B7564"/>
    <w:rsid w:val="005C1A7A"/>
    <w:rsid w:val="005D0080"/>
    <w:rsid w:val="005D3235"/>
    <w:rsid w:val="005E7519"/>
    <w:rsid w:val="005F0EC8"/>
    <w:rsid w:val="005F2F35"/>
    <w:rsid w:val="005F6C99"/>
    <w:rsid w:val="006010F0"/>
    <w:rsid w:val="00604544"/>
    <w:rsid w:val="0060725D"/>
    <w:rsid w:val="0061269C"/>
    <w:rsid w:val="00612FBA"/>
    <w:rsid w:val="0062726D"/>
    <w:rsid w:val="006273F6"/>
    <w:rsid w:val="006357E4"/>
    <w:rsid w:val="0063638C"/>
    <w:rsid w:val="00643252"/>
    <w:rsid w:val="00644FF3"/>
    <w:rsid w:val="00646374"/>
    <w:rsid w:val="00650D15"/>
    <w:rsid w:val="00660F88"/>
    <w:rsid w:val="006611D4"/>
    <w:rsid w:val="00665EFC"/>
    <w:rsid w:val="0066649C"/>
    <w:rsid w:val="00672734"/>
    <w:rsid w:val="00675095"/>
    <w:rsid w:val="0067578D"/>
    <w:rsid w:val="00690761"/>
    <w:rsid w:val="006966A0"/>
    <w:rsid w:val="00697EB0"/>
    <w:rsid w:val="006A2624"/>
    <w:rsid w:val="006A76E5"/>
    <w:rsid w:val="006B58B2"/>
    <w:rsid w:val="006B5CD1"/>
    <w:rsid w:val="006C7A1C"/>
    <w:rsid w:val="006D797F"/>
    <w:rsid w:val="006E48D0"/>
    <w:rsid w:val="006E51CE"/>
    <w:rsid w:val="006E5D1F"/>
    <w:rsid w:val="006E5E89"/>
    <w:rsid w:val="006F2D62"/>
    <w:rsid w:val="006F4A67"/>
    <w:rsid w:val="006F5017"/>
    <w:rsid w:val="006F7A13"/>
    <w:rsid w:val="0070096E"/>
    <w:rsid w:val="007013AB"/>
    <w:rsid w:val="007032BF"/>
    <w:rsid w:val="00706FBA"/>
    <w:rsid w:val="00707151"/>
    <w:rsid w:val="00714018"/>
    <w:rsid w:val="00714928"/>
    <w:rsid w:val="00717DA7"/>
    <w:rsid w:val="00724B51"/>
    <w:rsid w:val="007304B1"/>
    <w:rsid w:val="00732CBE"/>
    <w:rsid w:val="007330A9"/>
    <w:rsid w:val="00734805"/>
    <w:rsid w:val="00742C94"/>
    <w:rsid w:val="007442B1"/>
    <w:rsid w:val="00745EE4"/>
    <w:rsid w:val="00752E0F"/>
    <w:rsid w:val="0075367C"/>
    <w:rsid w:val="00753AFF"/>
    <w:rsid w:val="00756C68"/>
    <w:rsid w:val="00761CB6"/>
    <w:rsid w:val="00773856"/>
    <w:rsid w:val="00781F92"/>
    <w:rsid w:val="00783991"/>
    <w:rsid w:val="007857F3"/>
    <w:rsid w:val="00791867"/>
    <w:rsid w:val="007937ED"/>
    <w:rsid w:val="00794231"/>
    <w:rsid w:val="007B0095"/>
    <w:rsid w:val="007B18F6"/>
    <w:rsid w:val="007D228D"/>
    <w:rsid w:val="007D5FC1"/>
    <w:rsid w:val="007E7D0F"/>
    <w:rsid w:val="007F1DAD"/>
    <w:rsid w:val="007F205C"/>
    <w:rsid w:val="007F39D6"/>
    <w:rsid w:val="0080794A"/>
    <w:rsid w:val="00807A49"/>
    <w:rsid w:val="00814E6F"/>
    <w:rsid w:val="0081682D"/>
    <w:rsid w:val="00816A2D"/>
    <w:rsid w:val="00820CCE"/>
    <w:rsid w:val="00833256"/>
    <w:rsid w:val="00841925"/>
    <w:rsid w:val="00843166"/>
    <w:rsid w:val="008570BA"/>
    <w:rsid w:val="00863435"/>
    <w:rsid w:val="00863C73"/>
    <w:rsid w:val="0086712F"/>
    <w:rsid w:val="008715C9"/>
    <w:rsid w:val="0087759E"/>
    <w:rsid w:val="0088199F"/>
    <w:rsid w:val="008822C8"/>
    <w:rsid w:val="008926F8"/>
    <w:rsid w:val="008939A1"/>
    <w:rsid w:val="008A1AFA"/>
    <w:rsid w:val="008A1C8E"/>
    <w:rsid w:val="008A2EB4"/>
    <w:rsid w:val="008B10B7"/>
    <w:rsid w:val="008B340A"/>
    <w:rsid w:val="008C27B0"/>
    <w:rsid w:val="008C28D9"/>
    <w:rsid w:val="008C7781"/>
    <w:rsid w:val="008D0631"/>
    <w:rsid w:val="008D5228"/>
    <w:rsid w:val="0090001D"/>
    <w:rsid w:val="0090148C"/>
    <w:rsid w:val="00901B5A"/>
    <w:rsid w:val="00916B4A"/>
    <w:rsid w:val="009256D4"/>
    <w:rsid w:val="00930DBE"/>
    <w:rsid w:val="00931BF6"/>
    <w:rsid w:val="009324EE"/>
    <w:rsid w:val="00943DA1"/>
    <w:rsid w:val="00947504"/>
    <w:rsid w:val="00953420"/>
    <w:rsid w:val="00957C79"/>
    <w:rsid w:val="00961D9D"/>
    <w:rsid w:val="009641DA"/>
    <w:rsid w:val="009652D8"/>
    <w:rsid w:val="009660F1"/>
    <w:rsid w:val="00982879"/>
    <w:rsid w:val="00982DD9"/>
    <w:rsid w:val="0098430A"/>
    <w:rsid w:val="00991975"/>
    <w:rsid w:val="00997CA6"/>
    <w:rsid w:val="009A3F36"/>
    <w:rsid w:val="009D3D51"/>
    <w:rsid w:val="009D6E76"/>
    <w:rsid w:val="009E0806"/>
    <w:rsid w:val="009E0B72"/>
    <w:rsid w:val="009E13D3"/>
    <w:rsid w:val="009F1301"/>
    <w:rsid w:val="009F4822"/>
    <w:rsid w:val="009F490E"/>
    <w:rsid w:val="009F4AE9"/>
    <w:rsid w:val="009F7B7F"/>
    <w:rsid w:val="00A044D9"/>
    <w:rsid w:val="00A05784"/>
    <w:rsid w:val="00A077E1"/>
    <w:rsid w:val="00A21EFE"/>
    <w:rsid w:val="00A23437"/>
    <w:rsid w:val="00A2415A"/>
    <w:rsid w:val="00A254F1"/>
    <w:rsid w:val="00A30517"/>
    <w:rsid w:val="00A34F6D"/>
    <w:rsid w:val="00A57387"/>
    <w:rsid w:val="00A60C13"/>
    <w:rsid w:val="00A72AC8"/>
    <w:rsid w:val="00A73139"/>
    <w:rsid w:val="00A80407"/>
    <w:rsid w:val="00A82CCA"/>
    <w:rsid w:val="00A84B4B"/>
    <w:rsid w:val="00A85FB1"/>
    <w:rsid w:val="00A85FD5"/>
    <w:rsid w:val="00AA236B"/>
    <w:rsid w:val="00AA2898"/>
    <w:rsid w:val="00AA58ED"/>
    <w:rsid w:val="00AA6724"/>
    <w:rsid w:val="00AA7B52"/>
    <w:rsid w:val="00AB20D2"/>
    <w:rsid w:val="00AB224B"/>
    <w:rsid w:val="00AB4E1C"/>
    <w:rsid w:val="00AB7EC2"/>
    <w:rsid w:val="00AC1844"/>
    <w:rsid w:val="00AC3200"/>
    <w:rsid w:val="00AD2F0B"/>
    <w:rsid w:val="00AD366F"/>
    <w:rsid w:val="00AD6A2F"/>
    <w:rsid w:val="00AF071A"/>
    <w:rsid w:val="00AF602B"/>
    <w:rsid w:val="00B006CE"/>
    <w:rsid w:val="00B01DF7"/>
    <w:rsid w:val="00B02394"/>
    <w:rsid w:val="00B0393A"/>
    <w:rsid w:val="00B06ABD"/>
    <w:rsid w:val="00B1090A"/>
    <w:rsid w:val="00B13230"/>
    <w:rsid w:val="00B137AB"/>
    <w:rsid w:val="00B13E02"/>
    <w:rsid w:val="00B140D5"/>
    <w:rsid w:val="00B16C16"/>
    <w:rsid w:val="00B16DDC"/>
    <w:rsid w:val="00B31A7C"/>
    <w:rsid w:val="00B33D2A"/>
    <w:rsid w:val="00B34B97"/>
    <w:rsid w:val="00B3744B"/>
    <w:rsid w:val="00B475F4"/>
    <w:rsid w:val="00B47FD8"/>
    <w:rsid w:val="00B50358"/>
    <w:rsid w:val="00B51423"/>
    <w:rsid w:val="00B51CCE"/>
    <w:rsid w:val="00B71F37"/>
    <w:rsid w:val="00B80E50"/>
    <w:rsid w:val="00B9408C"/>
    <w:rsid w:val="00BA1A6F"/>
    <w:rsid w:val="00BA3FAB"/>
    <w:rsid w:val="00BC6863"/>
    <w:rsid w:val="00BD58AF"/>
    <w:rsid w:val="00BE1687"/>
    <w:rsid w:val="00BE265B"/>
    <w:rsid w:val="00BE622B"/>
    <w:rsid w:val="00BF6C21"/>
    <w:rsid w:val="00BF762F"/>
    <w:rsid w:val="00C03F0C"/>
    <w:rsid w:val="00C10C13"/>
    <w:rsid w:val="00C14ED5"/>
    <w:rsid w:val="00C177BE"/>
    <w:rsid w:val="00C2024F"/>
    <w:rsid w:val="00C30505"/>
    <w:rsid w:val="00C36078"/>
    <w:rsid w:val="00C36217"/>
    <w:rsid w:val="00C36262"/>
    <w:rsid w:val="00C3734B"/>
    <w:rsid w:val="00C4690C"/>
    <w:rsid w:val="00C52C4E"/>
    <w:rsid w:val="00C61B45"/>
    <w:rsid w:val="00C633F7"/>
    <w:rsid w:val="00C66388"/>
    <w:rsid w:val="00C75E65"/>
    <w:rsid w:val="00C8095A"/>
    <w:rsid w:val="00C86585"/>
    <w:rsid w:val="00CA05C1"/>
    <w:rsid w:val="00CB0693"/>
    <w:rsid w:val="00CB14F9"/>
    <w:rsid w:val="00CB41E0"/>
    <w:rsid w:val="00CB42E5"/>
    <w:rsid w:val="00CC4FAD"/>
    <w:rsid w:val="00CC5A25"/>
    <w:rsid w:val="00CC6912"/>
    <w:rsid w:val="00CD1DEB"/>
    <w:rsid w:val="00CD5078"/>
    <w:rsid w:val="00CE4159"/>
    <w:rsid w:val="00CE4D46"/>
    <w:rsid w:val="00CF3191"/>
    <w:rsid w:val="00CF62B2"/>
    <w:rsid w:val="00D0034C"/>
    <w:rsid w:val="00D036B0"/>
    <w:rsid w:val="00D0458C"/>
    <w:rsid w:val="00D1562A"/>
    <w:rsid w:val="00D16E75"/>
    <w:rsid w:val="00D21C50"/>
    <w:rsid w:val="00D32B17"/>
    <w:rsid w:val="00D339A3"/>
    <w:rsid w:val="00D346E7"/>
    <w:rsid w:val="00D40F4E"/>
    <w:rsid w:val="00D42675"/>
    <w:rsid w:val="00D427E2"/>
    <w:rsid w:val="00D42C2A"/>
    <w:rsid w:val="00D43687"/>
    <w:rsid w:val="00D43A86"/>
    <w:rsid w:val="00D5112F"/>
    <w:rsid w:val="00D56508"/>
    <w:rsid w:val="00D72196"/>
    <w:rsid w:val="00D85029"/>
    <w:rsid w:val="00D942CA"/>
    <w:rsid w:val="00D975F3"/>
    <w:rsid w:val="00DA1932"/>
    <w:rsid w:val="00DA2D82"/>
    <w:rsid w:val="00DA450E"/>
    <w:rsid w:val="00DA6D06"/>
    <w:rsid w:val="00DA7707"/>
    <w:rsid w:val="00DB7697"/>
    <w:rsid w:val="00DB7D23"/>
    <w:rsid w:val="00DC0599"/>
    <w:rsid w:val="00DC136C"/>
    <w:rsid w:val="00DC2F78"/>
    <w:rsid w:val="00DC4C9D"/>
    <w:rsid w:val="00DC5BF8"/>
    <w:rsid w:val="00DD0B66"/>
    <w:rsid w:val="00DD0F26"/>
    <w:rsid w:val="00DD54DE"/>
    <w:rsid w:val="00DE1853"/>
    <w:rsid w:val="00DE6CB5"/>
    <w:rsid w:val="00DE7829"/>
    <w:rsid w:val="00DF1F07"/>
    <w:rsid w:val="00DF6B0C"/>
    <w:rsid w:val="00DF70DB"/>
    <w:rsid w:val="00E012ED"/>
    <w:rsid w:val="00E01E60"/>
    <w:rsid w:val="00E061A9"/>
    <w:rsid w:val="00E10213"/>
    <w:rsid w:val="00E23C4C"/>
    <w:rsid w:val="00E244C8"/>
    <w:rsid w:val="00E30549"/>
    <w:rsid w:val="00E352C4"/>
    <w:rsid w:val="00E355FD"/>
    <w:rsid w:val="00E41DA4"/>
    <w:rsid w:val="00E45927"/>
    <w:rsid w:val="00E647E1"/>
    <w:rsid w:val="00E672F8"/>
    <w:rsid w:val="00E70F5B"/>
    <w:rsid w:val="00E7645B"/>
    <w:rsid w:val="00E9023E"/>
    <w:rsid w:val="00E903D3"/>
    <w:rsid w:val="00E94ABE"/>
    <w:rsid w:val="00E95DD4"/>
    <w:rsid w:val="00E96707"/>
    <w:rsid w:val="00EB35EA"/>
    <w:rsid w:val="00EC187A"/>
    <w:rsid w:val="00EC1B36"/>
    <w:rsid w:val="00EC30AD"/>
    <w:rsid w:val="00ED2008"/>
    <w:rsid w:val="00ED2A82"/>
    <w:rsid w:val="00EE029E"/>
    <w:rsid w:val="00EE30DD"/>
    <w:rsid w:val="00EE357F"/>
    <w:rsid w:val="00EE3CCE"/>
    <w:rsid w:val="00EE48DF"/>
    <w:rsid w:val="00EF4A67"/>
    <w:rsid w:val="00EF77F9"/>
    <w:rsid w:val="00EF7A3F"/>
    <w:rsid w:val="00F02343"/>
    <w:rsid w:val="00F07FC2"/>
    <w:rsid w:val="00F13274"/>
    <w:rsid w:val="00F153B3"/>
    <w:rsid w:val="00F22D25"/>
    <w:rsid w:val="00F31806"/>
    <w:rsid w:val="00F36A02"/>
    <w:rsid w:val="00F3749E"/>
    <w:rsid w:val="00F427AB"/>
    <w:rsid w:val="00F437C8"/>
    <w:rsid w:val="00F468D1"/>
    <w:rsid w:val="00F474F2"/>
    <w:rsid w:val="00F52B83"/>
    <w:rsid w:val="00F53226"/>
    <w:rsid w:val="00F5422D"/>
    <w:rsid w:val="00F61B97"/>
    <w:rsid w:val="00F659D9"/>
    <w:rsid w:val="00F65D6F"/>
    <w:rsid w:val="00F769CB"/>
    <w:rsid w:val="00F77442"/>
    <w:rsid w:val="00F876E8"/>
    <w:rsid w:val="00F87A77"/>
    <w:rsid w:val="00F92CAB"/>
    <w:rsid w:val="00F9323A"/>
    <w:rsid w:val="00F938A2"/>
    <w:rsid w:val="00FA21E2"/>
    <w:rsid w:val="00FA6819"/>
    <w:rsid w:val="00FB45E9"/>
    <w:rsid w:val="00FC0BBB"/>
    <w:rsid w:val="00FC4E73"/>
    <w:rsid w:val="00FC5551"/>
    <w:rsid w:val="00FD3A74"/>
    <w:rsid w:val="00FD4F97"/>
    <w:rsid w:val="00FE6E77"/>
    <w:rsid w:val="00FF0F45"/>
    <w:rsid w:val="00FF2D47"/>
  </w:rsids>
  <m:mathPr>
    <m:mathFont m:val="Cambria Math"/>
    <m:brkBin m:val="before"/>
    <m:brkBinSub m:val="--"/>
    <m:smallFrac m:val="0"/>
    <m:dispDef/>
    <m:lMargin m:val="0"/>
    <m:rMargin m:val="0"/>
    <m:defJc m:val="centerGroup"/>
    <m:wrapIndent m:val="1440"/>
    <m:intLim m:val="subSup"/>
    <m:naryLim m:val="undOvr"/>
  </m:mathPr>
  <w:attachedSchema w:val="urn:schemas-ncbi-nlm-nih-gov:wordconverte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866E"/>
  <w15:docId w15:val="{62B3A1AA-1763-460C-9353-63BF8DBC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A9E"/>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D43A86"/>
    <w:pPr>
      <w:keepNext/>
      <w:spacing w:line="480" w:lineRule="auto"/>
      <w:outlineLvl w:val="0"/>
    </w:pPr>
    <w:rPr>
      <w:b/>
      <w:color w:val="9E0000"/>
      <w:sz w:val="32"/>
    </w:rPr>
  </w:style>
  <w:style w:type="paragraph" w:styleId="Heading2">
    <w:name w:val="heading 2"/>
    <w:basedOn w:val="Normal"/>
    <w:next w:val="Normal"/>
    <w:link w:val="Heading2Char"/>
    <w:qFormat/>
    <w:rsid w:val="00D43A86"/>
    <w:pPr>
      <w:keepNext/>
      <w:spacing w:before="240" w:after="60" w:line="480" w:lineRule="auto"/>
      <w:outlineLvl w:val="1"/>
    </w:pPr>
    <w:rPr>
      <w:b/>
      <w:color w:val="5F5F5F"/>
      <w:sz w:val="28"/>
    </w:rPr>
  </w:style>
  <w:style w:type="paragraph" w:styleId="Heading3">
    <w:name w:val="heading 3"/>
    <w:basedOn w:val="Normal"/>
    <w:next w:val="Normal"/>
    <w:link w:val="Heading3Char"/>
    <w:qFormat/>
    <w:rsid w:val="00D43A86"/>
    <w:pPr>
      <w:keepNext/>
      <w:spacing w:before="240" w:after="60" w:line="480" w:lineRule="auto"/>
      <w:outlineLvl w:val="2"/>
    </w:pPr>
    <w:rPr>
      <w:b/>
      <w:sz w:val="26"/>
    </w:rPr>
  </w:style>
  <w:style w:type="paragraph" w:styleId="Heading4">
    <w:name w:val="heading 4"/>
    <w:basedOn w:val="Normal"/>
    <w:next w:val="Normal"/>
    <w:link w:val="Heading4Char"/>
    <w:qFormat/>
    <w:rsid w:val="00D43A86"/>
    <w:pPr>
      <w:keepNext/>
      <w:spacing w:line="480" w:lineRule="auto"/>
      <w:outlineLvl w:val="3"/>
    </w:pPr>
    <w:rPr>
      <w:rFonts w:eastAsia="Times New Roman"/>
      <w:b/>
    </w:rPr>
  </w:style>
  <w:style w:type="paragraph" w:styleId="Heading5">
    <w:name w:val="heading 5"/>
    <w:basedOn w:val="Normal"/>
    <w:next w:val="Normal"/>
    <w:qFormat/>
    <w:rsid w:val="00D43A86"/>
    <w:pPr>
      <w:spacing w:before="240" w:after="60" w:line="480" w:lineRule="auto"/>
      <w:outlineLvl w:val="4"/>
    </w:pPr>
    <w:rPr>
      <w:i/>
    </w:rPr>
  </w:style>
  <w:style w:type="paragraph" w:styleId="Heading6">
    <w:name w:val="heading 6"/>
    <w:basedOn w:val="Normal"/>
    <w:next w:val="Normal"/>
    <w:qFormat/>
    <w:rsid w:val="00D43A86"/>
    <w:pPr>
      <w:keepNext/>
      <w:spacing w:line="480" w:lineRule="auto"/>
      <w:outlineLvl w:val="5"/>
    </w:pPr>
    <w:rPr>
      <w:rFonts w:eastAsia="Times New Roman"/>
      <w:b/>
    </w:rPr>
  </w:style>
  <w:style w:type="paragraph" w:styleId="Heading7">
    <w:name w:val="heading 7"/>
    <w:basedOn w:val="Normal"/>
    <w:next w:val="Normal"/>
    <w:qFormat/>
    <w:rsid w:val="00D43A86"/>
    <w:pPr>
      <w:keepNext/>
      <w:ind w:right="-900"/>
      <w:jc w:val="both"/>
      <w:outlineLvl w:val="6"/>
    </w:pPr>
    <w:rPr>
      <w:b/>
      <w:sz w:val="20"/>
    </w:rPr>
  </w:style>
  <w:style w:type="paragraph" w:styleId="Heading8">
    <w:name w:val="heading 8"/>
    <w:basedOn w:val="Normal"/>
    <w:next w:val="Normal"/>
    <w:qFormat/>
    <w:rsid w:val="00D43A86"/>
    <w:pPr>
      <w:keepNext/>
      <w:spacing w:line="480" w:lineRule="auto"/>
      <w:ind w:left="6" w:right="-900" w:hanging="6"/>
      <w:jc w:val="both"/>
      <w:outlineLvl w:val="7"/>
    </w:pPr>
    <w:rPr>
      <w:b/>
      <w:sz w:val="20"/>
      <w:lang w:val="en-GB"/>
    </w:rPr>
  </w:style>
  <w:style w:type="paragraph" w:styleId="Heading9">
    <w:name w:val="heading 9"/>
    <w:basedOn w:val="Normal"/>
    <w:next w:val="Normal"/>
    <w:autoRedefine/>
    <w:qFormat/>
    <w:rsid w:val="00D43A86"/>
    <w:pPr>
      <w:keepNext/>
      <w:outlineLvl w:val="8"/>
    </w:pPr>
    <w:rPr>
      <w:b/>
      <w:lang w:val="en-GB"/>
    </w:rPr>
  </w:style>
  <w:style w:type="character" w:default="1" w:styleId="DefaultParagraphFont">
    <w:name w:val="Default Paragraph Font"/>
    <w:uiPriority w:val="1"/>
    <w:semiHidden/>
    <w:unhideWhenUsed/>
    <w:rsid w:val="00502A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2A9E"/>
  </w:style>
  <w:style w:type="table" w:styleId="TableGrid">
    <w:name w:val="Table Grid"/>
    <w:basedOn w:val="TableNormal"/>
    <w:rsid w:val="00D43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next w:val="Normal"/>
    <w:rsid w:val="00D43A86"/>
    <w:rPr>
      <w:sz w:val="20"/>
    </w:rPr>
  </w:style>
  <w:style w:type="paragraph" w:customStyle="1" w:styleId="Comment">
    <w:name w:val="Comment"/>
    <w:basedOn w:val="Normal"/>
    <w:next w:val="Normal"/>
    <w:rsid w:val="00D43A86"/>
    <w:pPr>
      <w:shd w:val="clear" w:color="auto" w:fill="FFFF00"/>
      <w:spacing w:before="120"/>
    </w:pPr>
    <w:rPr>
      <w:sz w:val="20"/>
    </w:rPr>
  </w:style>
  <w:style w:type="paragraph" w:customStyle="1" w:styleId="Blockquote">
    <w:name w:val="Blockquote"/>
    <w:basedOn w:val="Normal"/>
    <w:next w:val="Normal"/>
    <w:rsid w:val="00D43A86"/>
    <w:pPr>
      <w:pBdr>
        <w:top w:val="single" w:sz="2" w:space="1" w:color="C0C0C0"/>
        <w:left w:val="single" w:sz="2" w:space="4" w:color="C0C0C0"/>
        <w:bottom w:val="single" w:sz="2" w:space="1" w:color="C0C0C0"/>
        <w:right w:val="single" w:sz="2" w:space="4" w:color="C0C0C0"/>
      </w:pBdr>
      <w:shd w:val="clear" w:color="auto" w:fill="FFFFDD"/>
      <w:spacing w:before="120"/>
      <w:ind w:left="720"/>
    </w:pPr>
    <w:rPr>
      <w:rFonts w:ascii="Times New Roman" w:hAnsi="Times New Roman"/>
    </w:rPr>
  </w:style>
  <w:style w:type="paragraph" w:customStyle="1" w:styleId="Preformatted">
    <w:name w:val="Preformatted"/>
    <w:basedOn w:val="Normal"/>
    <w:next w:val="Normal"/>
    <w:rsid w:val="00D43A86"/>
    <w:pPr>
      <w:pBdr>
        <w:top w:val="single" w:sz="2" w:space="1" w:color="auto"/>
        <w:left w:val="single" w:sz="2" w:space="4" w:color="auto"/>
        <w:bottom w:val="single" w:sz="2" w:space="1" w:color="auto"/>
        <w:right w:val="single" w:sz="2" w:space="4" w:color="auto"/>
      </w:pBdr>
      <w:shd w:val="clear" w:color="auto" w:fill="F3F3F3"/>
      <w:spacing w:after="0"/>
    </w:pPr>
    <w:rPr>
      <w:rFonts w:ascii="Courier New" w:hAnsi="Courier New"/>
      <w:color w:val="333333"/>
      <w:sz w:val="20"/>
    </w:rPr>
  </w:style>
  <w:style w:type="paragraph" w:customStyle="1" w:styleId="AbstractHeader">
    <w:name w:val="Abstract Header"/>
    <w:basedOn w:val="Heading2"/>
    <w:next w:val="Normal"/>
    <w:rsid w:val="00D43A86"/>
    <w:rPr>
      <w:rFonts w:ascii="Times New Roman" w:hAnsi="Times New Roman"/>
    </w:rPr>
  </w:style>
  <w:style w:type="paragraph" w:customStyle="1" w:styleId="Boxnumberandcaption">
    <w:name w:val="Box number and caption"/>
    <w:basedOn w:val="Heading3"/>
    <w:next w:val="Normal"/>
    <w:rsid w:val="00D43A86"/>
    <w:pPr>
      <w:shd w:val="clear" w:color="auto" w:fill="E6E6E6"/>
      <w:spacing w:before="120"/>
    </w:pPr>
    <w:rPr>
      <w:color w:val="666666"/>
      <w:sz w:val="24"/>
      <w:szCs w:val="28"/>
    </w:rPr>
  </w:style>
  <w:style w:type="paragraph" w:customStyle="1" w:styleId="Figurenumberandcaption">
    <w:name w:val="Figure number and caption"/>
    <w:basedOn w:val="Normal"/>
    <w:next w:val="Normal"/>
    <w:rsid w:val="00D43A86"/>
    <w:pPr>
      <w:spacing w:before="120"/>
    </w:pPr>
    <w:rPr>
      <w:color w:val="000080"/>
    </w:rPr>
  </w:style>
  <w:style w:type="paragraph" w:customStyle="1" w:styleId="Tablenumberandcaption">
    <w:name w:val="Table number and caption"/>
    <w:basedOn w:val="Normal"/>
    <w:next w:val="Normal"/>
    <w:rsid w:val="00D43A86"/>
    <w:pPr>
      <w:spacing w:before="120"/>
    </w:pPr>
    <w:rPr>
      <w:b/>
      <w:color w:val="006600"/>
    </w:rPr>
  </w:style>
  <w:style w:type="paragraph" w:customStyle="1" w:styleId="Tableheader">
    <w:name w:val="Table header"/>
    <w:basedOn w:val="Normal"/>
    <w:next w:val="Normal"/>
    <w:rsid w:val="00D43A86"/>
    <w:pPr>
      <w:spacing w:after="0"/>
    </w:pPr>
    <w:rPr>
      <w:b/>
      <w:sz w:val="20"/>
    </w:rPr>
  </w:style>
  <w:style w:type="paragraph" w:customStyle="1" w:styleId="Tablebody">
    <w:name w:val="Table body"/>
    <w:basedOn w:val="Normal"/>
    <w:next w:val="Normal"/>
    <w:rsid w:val="00D43A86"/>
    <w:pPr>
      <w:spacing w:after="0"/>
    </w:pPr>
    <w:rPr>
      <w:sz w:val="20"/>
    </w:rPr>
  </w:style>
  <w:style w:type="paragraph" w:customStyle="1" w:styleId="Tablefooter">
    <w:name w:val="Table footer"/>
    <w:basedOn w:val="Normal"/>
    <w:next w:val="Normal"/>
    <w:rsid w:val="00D43A86"/>
    <w:pPr>
      <w:spacing w:after="0"/>
    </w:pPr>
    <w:rPr>
      <w:sz w:val="18"/>
    </w:rPr>
  </w:style>
  <w:style w:type="paragraph" w:customStyle="1" w:styleId="Alternateheading">
    <w:name w:val="Alternate heading"/>
    <w:basedOn w:val="Normal"/>
    <w:next w:val="Normal"/>
    <w:rsid w:val="00D43A86"/>
    <w:rPr>
      <w:b/>
      <w:color w:val="800080"/>
    </w:rPr>
  </w:style>
  <w:style w:type="paragraph" w:styleId="Footer">
    <w:name w:val="footer"/>
    <w:basedOn w:val="Normal"/>
    <w:rsid w:val="00D43A86"/>
    <w:pPr>
      <w:tabs>
        <w:tab w:val="center" w:pos="4320"/>
        <w:tab w:val="right" w:pos="8640"/>
      </w:tabs>
      <w:spacing w:after="0"/>
    </w:pPr>
    <w:rPr>
      <w:rFonts w:ascii="Times New Roman" w:eastAsia="SimSun" w:hAnsi="Times New Roman"/>
      <w:lang w:eastAsia="zh-CN"/>
    </w:rPr>
  </w:style>
  <w:style w:type="paragraph" w:customStyle="1" w:styleId="Boxsubhead">
    <w:name w:val="Box subhead"/>
    <w:basedOn w:val="Heading4"/>
    <w:next w:val="Normal"/>
    <w:rsid w:val="00D43A86"/>
    <w:rPr>
      <w:color w:val="808080"/>
    </w:rPr>
  </w:style>
  <w:style w:type="paragraph" w:customStyle="1" w:styleId="Answer">
    <w:name w:val="Answer"/>
    <w:basedOn w:val="Normal"/>
    <w:next w:val="Normal"/>
    <w:rsid w:val="00D43A86"/>
    <w:pPr>
      <w:pBdr>
        <w:top w:val="single" w:sz="4" w:space="1" w:color="FFFFFF"/>
        <w:left w:val="single" w:sz="4" w:space="4" w:color="FFFFFF"/>
        <w:bottom w:val="single" w:sz="4" w:space="1" w:color="FFFFFF"/>
        <w:right w:val="single" w:sz="4" w:space="4" w:color="FFFFFF"/>
      </w:pBdr>
      <w:shd w:val="clear" w:color="auto" w:fill="ECFEDA"/>
    </w:pPr>
    <w:rPr>
      <w:rFonts w:ascii="Times New Roman" w:hAnsi="Times New Roman"/>
      <w:color w:val="800000"/>
    </w:rPr>
  </w:style>
  <w:style w:type="paragraph" w:customStyle="1" w:styleId="Question">
    <w:name w:val="Question"/>
    <w:basedOn w:val="Normal"/>
    <w:next w:val="Normal"/>
    <w:rsid w:val="00D43A86"/>
    <w:pPr>
      <w:pBdr>
        <w:top w:val="single" w:sz="4" w:space="1" w:color="FFFFFF"/>
        <w:left w:val="single" w:sz="4" w:space="4" w:color="FFFFFF"/>
        <w:bottom w:val="single" w:sz="4" w:space="1" w:color="FFFFFF"/>
        <w:right w:val="single" w:sz="4" w:space="4" w:color="FFFFFF"/>
      </w:pBdr>
      <w:shd w:val="clear" w:color="auto" w:fill="E9E6EE"/>
    </w:pPr>
    <w:rPr>
      <w:rFonts w:ascii="Verdana" w:hAnsi="Verdana"/>
      <w:color w:val="333399"/>
    </w:rPr>
  </w:style>
  <w:style w:type="character" w:customStyle="1" w:styleId="nc-highlight">
    <w:name w:val="nc-highlight"/>
    <w:rsid w:val="00D43A86"/>
    <w:rPr>
      <w:bdr w:val="none" w:sz="0" w:space="0" w:color="auto"/>
      <w:shd w:val="clear" w:color="auto" w:fill="FFFF93"/>
    </w:rPr>
  </w:style>
  <w:style w:type="character" w:customStyle="1" w:styleId="LabelorNumber">
    <w:name w:val="Label or Number"/>
    <w:rsid w:val="00D43A86"/>
    <w:rPr>
      <w:rFonts w:ascii="Arial" w:hAnsi="Arial"/>
      <w:color w:val="auto"/>
      <w:sz w:val="22"/>
      <w:bdr w:val="none" w:sz="0" w:space="0" w:color="auto"/>
      <w:shd w:val="clear" w:color="auto" w:fill="33CCCC"/>
    </w:rPr>
  </w:style>
  <w:style w:type="paragraph" w:styleId="DocumentMap">
    <w:name w:val="Document Map"/>
    <w:basedOn w:val="Normal"/>
    <w:rsid w:val="00D43A86"/>
    <w:pPr>
      <w:shd w:val="clear" w:color="auto" w:fill="000080"/>
    </w:pPr>
    <w:rPr>
      <w:rFonts w:ascii="Tahoma" w:hAnsi="Tahoma" w:cs="Tahoma"/>
      <w:sz w:val="20"/>
    </w:rPr>
  </w:style>
  <w:style w:type="paragraph" w:customStyle="1" w:styleId="Processinginstruction">
    <w:name w:val="Processing instruction"/>
    <w:basedOn w:val="Normal"/>
    <w:next w:val="Normal"/>
    <w:rsid w:val="00D43A86"/>
    <w:pPr>
      <w:shd w:val="clear" w:color="auto" w:fill="D6FF61"/>
    </w:pPr>
    <w:rPr>
      <w:rFonts w:ascii="Courier New" w:hAnsi="Courier New"/>
      <w:color w:val="000080"/>
    </w:rPr>
  </w:style>
  <w:style w:type="paragraph" w:customStyle="1" w:styleId="Equation">
    <w:name w:val="Equation"/>
    <w:basedOn w:val="Normal"/>
    <w:rsid w:val="00D43A86"/>
    <w:pPr>
      <w:jc w:val="center"/>
    </w:pPr>
    <w:rPr>
      <w:rFonts w:eastAsia="Times New Roman"/>
      <w:color w:val="333398"/>
    </w:rPr>
  </w:style>
  <w:style w:type="paragraph" w:customStyle="1" w:styleId="Figuregraphic">
    <w:name w:val="Figure graphic"/>
    <w:basedOn w:val="Normal"/>
    <w:rsid w:val="00D43A86"/>
    <w:pPr>
      <w:autoSpaceDE w:val="0"/>
      <w:autoSpaceDN w:val="0"/>
      <w:adjustRightInd w:val="0"/>
    </w:pPr>
    <w:rPr>
      <w:rFonts w:eastAsia="Times New Roman"/>
    </w:rPr>
  </w:style>
  <w:style w:type="paragraph" w:customStyle="1" w:styleId="Keywords">
    <w:name w:val="Keywords"/>
    <w:basedOn w:val="Normal"/>
    <w:rsid w:val="00D43A86"/>
    <w:rPr>
      <w:rFonts w:eastAsia="Times New Roman"/>
      <w:color w:val="000080"/>
    </w:rPr>
  </w:style>
  <w:style w:type="character" w:customStyle="1" w:styleId="Processinginstructionchar">
    <w:name w:val="Processing instruction char"/>
    <w:rsid w:val="00D43A86"/>
    <w:rPr>
      <w:rFonts w:ascii="Courier New" w:hAnsi="Courier New"/>
      <w:sz w:val="18"/>
      <w:bdr w:val="none" w:sz="0" w:space="0" w:color="auto"/>
      <w:shd w:val="clear" w:color="auto" w:fill="D99594"/>
    </w:rPr>
  </w:style>
  <w:style w:type="character" w:customStyle="1" w:styleId="nc-highlight-1">
    <w:name w:val="nc-highlight-1"/>
    <w:rsid w:val="00D43A86"/>
    <w:rPr>
      <w:rFonts w:ascii="Arial" w:hAnsi="Arial"/>
      <w:color w:val="FFFFFF"/>
      <w:sz w:val="24"/>
      <w:bdr w:val="none" w:sz="0" w:space="0" w:color="auto"/>
      <w:shd w:val="solid" w:color="0070C0" w:fill="0070C0"/>
    </w:rPr>
  </w:style>
  <w:style w:type="paragraph" w:styleId="Subtitle">
    <w:name w:val="Subtitle"/>
    <w:basedOn w:val="Normal"/>
    <w:link w:val="SubtitleChar"/>
    <w:qFormat/>
    <w:rsid w:val="00D43A86"/>
    <w:pPr>
      <w:keepNext/>
      <w:spacing w:before="240" w:after="60" w:line="480" w:lineRule="auto"/>
      <w:outlineLvl w:val="1"/>
    </w:pPr>
    <w:rPr>
      <w:rFonts w:eastAsia="Times New Roman" w:cs="Arial"/>
      <w:b/>
      <w:kern w:val="28"/>
      <w:u w:val="single"/>
    </w:rPr>
  </w:style>
  <w:style w:type="character" w:customStyle="1" w:styleId="SubtitleChar">
    <w:name w:val="Subtitle Char"/>
    <w:link w:val="Subtitle"/>
    <w:rsid w:val="00D43A86"/>
    <w:rPr>
      <w:rFonts w:asciiTheme="minorHAnsi" w:hAnsiTheme="minorHAnsi" w:cs="Arial"/>
      <w:b/>
      <w:kern w:val="28"/>
      <w:sz w:val="22"/>
      <w:szCs w:val="24"/>
      <w:u w:val="single"/>
    </w:rPr>
  </w:style>
  <w:style w:type="paragraph" w:customStyle="1" w:styleId="Abstract">
    <w:name w:val="Abstract"/>
    <w:basedOn w:val="Normal"/>
    <w:next w:val="Normal"/>
    <w:rsid w:val="00D43A86"/>
    <w:pPr>
      <w:spacing w:before="120" w:after="0"/>
    </w:pPr>
    <w:rPr>
      <w:rFonts w:ascii="Times New Roman" w:eastAsia="Times New Roman" w:hAnsi="Times New Roman"/>
      <w:sz w:val="20"/>
    </w:rPr>
  </w:style>
  <w:style w:type="paragraph" w:customStyle="1" w:styleId="Boxcontent">
    <w:name w:val="Boxcontent"/>
    <w:basedOn w:val="Normal"/>
    <w:rsid w:val="00D43A86"/>
    <w:rPr>
      <w:rFonts w:eastAsia="Times New Roman"/>
    </w:rPr>
  </w:style>
  <w:style w:type="character" w:customStyle="1" w:styleId="nc-highlight-2">
    <w:name w:val="nc-highlight-2"/>
    <w:rsid w:val="00D43A86"/>
    <w:rPr>
      <w:rFonts w:ascii="Arial" w:hAnsi="Arial"/>
      <w:color w:val="FFFFFF"/>
      <w:bdr w:val="none" w:sz="0" w:space="0" w:color="auto"/>
      <w:shd w:val="solid" w:color="663300" w:fill="663300"/>
    </w:rPr>
  </w:style>
  <w:style w:type="paragraph" w:customStyle="1" w:styleId="Structuredabstractheading">
    <w:name w:val="Structured abstract heading"/>
    <w:basedOn w:val="Normal"/>
    <w:next w:val="Normal"/>
    <w:rsid w:val="00D43A86"/>
    <w:pPr>
      <w:keepNext/>
      <w:spacing w:before="240" w:after="60" w:line="480" w:lineRule="auto"/>
      <w:outlineLvl w:val="2"/>
    </w:pPr>
    <w:rPr>
      <w:rFonts w:eastAsia="Times New Roman"/>
      <w:b/>
      <w:kern w:val="28"/>
      <w:sz w:val="26"/>
    </w:rPr>
  </w:style>
  <w:style w:type="character" w:customStyle="1" w:styleId="nc-highlight-3">
    <w:name w:val="nc-highlight-3"/>
    <w:rsid w:val="00D43A86"/>
    <w:rPr>
      <w:rFonts w:ascii="Arial" w:hAnsi="Arial"/>
      <w:color w:val="FFFFFF"/>
      <w:sz w:val="24"/>
      <w:bdr w:val="none" w:sz="0" w:space="0" w:color="auto"/>
      <w:shd w:val="solid" w:color="A6A6A6" w:fill="A6A6A6"/>
    </w:rPr>
  </w:style>
  <w:style w:type="character" w:customStyle="1" w:styleId="nc-highlight-4">
    <w:name w:val="nc-highlight-4"/>
    <w:rsid w:val="00D43A86"/>
    <w:rPr>
      <w:rFonts w:ascii="Arial" w:hAnsi="Arial"/>
      <w:color w:val="FFFFFF"/>
      <w:sz w:val="24"/>
      <w:bdr w:val="none" w:sz="0" w:space="0" w:color="auto"/>
      <w:shd w:val="solid" w:color="CC9900" w:fill="CC9900"/>
    </w:rPr>
  </w:style>
  <w:style w:type="character" w:customStyle="1" w:styleId="nc-highlight-5">
    <w:name w:val="nc-highlight-5"/>
    <w:rsid w:val="00D43A86"/>
    <w:rPr>
      <w:rFonts w:ascii="Arial" w:hAnsi="Arial"/>
      <w:color w:val="FFFFFF"/>
      <w:sz w:val="24"/>
      <w:bdr w:val="none" w:sz="0" w:space="0" w:color="auto"/>
      <w:shd w:val="solid" w:color="000000" w:fill="000000"/>
    </w:rPr>
  </w:style>
  <w:style w:type="paragraph" w:customStyle="1" w:styleId="Figurealttext">
    <w:name w:val="Figure alt text"/>
    <w:basedOn w:val="Normal"/>
    <w:rsid w:val="00D43A86"/>
    <w:pPr>
      <w:shd w:val="clear" w:color="auto" w:fill="C4BC96"/>
    </w:pPr>
    <w:rPr>
      <w:rFonts w:ascii="Courier New" w:eastAsia="Times New Roman" w:hAnsi="Courier New"/>
    </w:rPr>
  </w:style>
  <w:style w:type="paragraph" w:styleId="List">
    <w:name w:val="List"/>
    <w:basedOn w:val="Normal"/>
    <w:rsid w:val="00D43A86"/>
    <w:pPr>
      <w:ind w:left="360" w:hanging="360"/>
      <w:contextualSpacing/>
    </w:pPr>
  </w:style>
  <w:style w:type="paragraph" w:customStyle="1" w:styleId="FiguresTablesBoxesSectionHeading">
    <w:name w:val="Figures Tables Boxes Section Heading"/>
    <w:basedOn w:val="Heading2"/>
    <w:next w:val="Normal"/>
    <w:rsid w:val="00D43A86"/>
    <w:rPr>
      <w:rFonts w:ascii="Verdana" w:hAnsi="Verdana"/>
      <w:color w:val="A50021"/>
      <w:sz w:val="24"/>
    </w:rPr>
  </w:style>
  <w:style w:type="paragraph" w:customStyle="1" w:styleId="Glossarydefinition">
    <w:name w:val="Glossary definition"/>
    <w:basedOn w:val="Normal"/>
    <w:rsid w:val="00D43A86"/>
    <w:pPr>
      <w:shd w:val="clear" w:color="auto" w:fill="FDE4BF"/>
    </w:pPr>
    <w:rPr>
      <w:color w:val="0033CC"/>
    </w:rPr>
  </w:style>
  <w:style w:type="paragraph" w:customStyle="1" w:styleId="Glossaryterm">
    <w:name w:val="Glossary term"/>
    <w:basedOn w:val="Normal"/>
    <w:next w:val="Glossarydefinition"/>
    <w:rsid w:val="00D43A86"/>
    <w:pPr>
      <w:shd w:val="clear" w:color="auto" w:fill="CCFFFF"/>
    </w:pPr>
    <w:rPr>
      <w:b/>
    </w:rPr>
  </w:style>
  <w:style w:type="character" w:customStyle="1" w:styleId="monospace">
    <w:name w:val="monospace"/>
    <w:rsid w:val="00D43A86"/>
    <w:rPr>
      <w:rFonts w:ascii="Courier New" w:hAnsi="Courier New"/>
      <w:color w:val="auto"/>
      <w:sz w:val="20"/>
      <w:bdr w:val="none" w:sz="0" w:space="0" w:color="auto"/>
      <w:shd w:val="clear" w:color="auto" w:fill="D9D9D9"/>
    </w:rPr>
  </w:style>
  <w:style w:type="paragraph" w:customStyle="1" w:styleId="Figurecaptioncontinued">
    <w:name w:val="Figure caption continued"/>
    <w:basedOn w:val="Normal"/>
    <w:rsid w:val="00D43A86"/>
    <w:rPr>
      <w:rFonts w:eastAsia="Times New Roman"/>
      <w:color w:val="000080"/>
      <w:lang w:val="en-GB"/>
    </w:rPr>
  </w:style>
  <w:style w:type="paragraph" w:customStyle="1" w:styleId="Figurecopyrightstatement">
    <w:name w:val="Figure copyright statement"/>
    <w:basedOn w:val="Normal"/>
    <w:rsid w:val="00D43A86"/>
    <w:rPr>
      <w:rFonts w:ascii="Times New Roman" w:eastAsia="Times New Roman" w:hAnsi="Times New Roman"/>
      <w:b/>
      <w:color w:val="943634"/>
      <w:sz w:val="20"/>
    </w:rPr>
  </w:style>
  <w:style w:type="paragraph" w:customStyle="1" w:styleId="Figurelicensestatement">
    <w:name w:val="Figure license statement"/>
    <w:basedOn w:val="Normal"/>
    <w:rsid w:val="00D43A86"/>
    <w:rPr>
      <w:rFonts w:ascii="Times New Roman" w:eastAsia="Times New Roman" w:hAnsi="Times New Roman"/>
      <w:b/>
      <w:color w:val="76923C"/>
      <w:sz w:val="20"/>
    </w:rPr>
  </w:style>
  <w:style w:type="paragraph" w:customStyle="1" w:styleId="Figuretitle">
    <w:name w:val="Figure title"/>
    <w:basedOn w:val="Normal"/>
    <w:next w:val="Normal"/>
    <w:rsid w:val="00D43A86"/>
    <w:pPr>
      <w:spacing w:before="120"/>
    </w:pPr>
    <w:rPr>
      <w:rFonts w:eastAsia="Times New Roman"/>
      <w:b/>
      <w:color w:val="000080"/>
      <w:lang w:val="en-GB"/>
    </w:rPr>
  </w:style>
  <w:style w:type="paragraph" w:customStyle="1" w:styleId="Tablecopyrightstatement">
    <w:name w:val="Table copyright statement"/>
    <w:basedOn w:val="Normal"/>
    <w:rsid w:val="00D43A86"/>
    <w:rPr>
      <w:rFonts w:ascii="Times New Roman" w:eastAsia="Times New Roman" w:hAnsi="Times New Roman"/>
      <w:b/>
      <w:color w:val="943634"/>
      <w:sz w:val="20"/>
    </w:rPr>
  </w:style>
  <w:style w:type="paragraph" w:customStyle="1" w:styleId="Tablelicensestatement">
    <w:name w:val="Table license statement"/>
    <w:basedOn w:val="Normal"/>
    <w:rsid w:val="00D43A86"/>
    <w:rPr>
      <w:rFonts w:ascii="Times New Roman" w:eastAsia="Times New Roman" w:hAnsi="Times New Roman"/>
      <w:b/>
      <w:color w:val="76923C"/>
      <w:sz w:val="20"/>
    </w:rPr>
  </w:style>
  <w:style w:type="paragraph" w:customStyle="1" w:styleId="VideoInformation">
    <w:name w:val="Video Information"/>
    <w:basedOn w:val="Normal"/>
    <w:rsid w:val="00D43A86"/>
    <w:pPr>
      <w:shd w:val="clear" w:color="auto" w:fill="FFCCFF"/>
    </w:pPr>
    <w:rPr>
      <w:rFonts w:eastAsia="Times New Roman"/>
      <w:sz w:val="20"/>
    </w:rPr>
  </w:style>
  <w:style w:type="paragraph" w:customStyle="1" w:styleId="Runninglefthead">
    <w:name w:val="Running left head"/>
    <w:basedOn w:val="Normal"/>
    <w:next w:val="Normal"/>
    <w:rsid w:val="00D43A86"/>
    <w:pPr>
      <w:autoSpaceDE w:val="0"/>
      <w:autoSpaceDN w:val="0"/>
      <w:adjustRightInd w:val="0"/>
    </w:pPr>
    <w:rPr>
      <w:rFonts w:eastAsia="Times New Roman"/>
    </w:rPr>
  </w:style>
  <w:style w:type="character" w:customStyle="1" w:styleId="Heading1Char">
    <w:name w:val="Heading 1 Char"/>
    <w:link w:val="Heading1"/>
    <w:rsid w:val="00D43A86"/>
    <w:rPr>
      <w:rFonts w:asciiTheme="minorHAnsi" w:eastAsiaTheme="minorHAnsi" w:hAnsiTheme="minorHAnsi" w:cstheme="minorBidi"/>
      <w:b/>
      <w:color w:val="9E0000"/>
      <w:sz w:val="32"/>
      <w:szCs w:val="22"/>
    </w:rPr>
  </w:style>
  <w:style w:type="character" w:customStyle="1" w:styleId="Heading2Char">
    <w:name w:val="Heading 2 Char"/>
    <w:link w:val="Heading2"/>
    <w:rsid w:val="00D43A86"/>
    <w:rPr>
      <w:rFonts w:asciiTheme="minorHAnsi" w:eastAsiaTheme="minorHAnsi" w:hAnsiTheme="minorHAnsi" w:cstheme="minorBidi"/>
      <w:b/>
      <w:color w:val="5F5F5F"/>
      <w:sz w:val="28"/>
      <w:szCs w:val="22"/>
    </w:rPr>
  </w:style>
  <w:style w:type="character" w:customStyle="1" w:styleId="Heading3Char">
    <w:name w:val="Heading 3 Char"/>
    <w:link w:val="Heading3"/>
    <w:rsid w:val="00D43A86"/>
    <w:rPr>
      <w:rFonts w:asciiTheme="minorHAnsi" w:eastAsiaTheme="minorHAnsi" w:hAnsiTheme="minorHAnsi" w:cstheme="minorBidi"/>
      <w:b/>
      <w:sz w:val="26"/>
      <w:szCs w:val="22"/>
    </w:rPr>
  </w:style>
  <w:style w:type="character" w:customStyle="1" w:styleId="Heading4Char">
    <w:name w:val="Heading 4 Char"/>
    <w:link w:val="Heading4"/>
    <w:rsid w:val="00D43A86"/>
    <w:rPr>
      <w:rFonts w:asciiTheme="minorHAnsi" w:hAnsiTheme="minorHAnsi" w:cstheme="minorBidi"/>
      <w:b/>
      <w:sz w:val="22"/>
      <w:szCs w:val="22"/>
    </w:rPr>
  </w:style>
  <w:style w:type="paragraph" w:customStyle="1" w:styleId="Bulletedlist1">
    <w:name w:val="Bulletedlist1"/>
    <w:basedOn w:val="Normal"/>
    <w:rsid w:val="00D43A86"/>
    <w:pPr>
      <w:numPr>
        <w:numId w:val="3"/>
      </w:numPr>
    </w:pPr>
    <w:rPr>
      <w:rFonts w:eastAsia="Times New Roman"/>
    </w:rPr>
  </w:style>
  <w:style w:type="paragraph" w:customStyle="1" w:styleId="Bulletedlist2">
    <w:name w:val="Bulletedlist2"/>
    <w:basedOn w:val="Bulletedlist1"/>
    <w:rsid w:val="00D43A86"/>
    <w:pPr>
      <w:numPr>
        <w:ilvl w:val="1"/>
      </w:numPr>
    </w:pPr>
  </w:style>
  <w:style w:type="paragraph" w:customStyle="1" w:styleId="Bulletedlist3">
    <w:name w:val="Bulletedlist3"/>
    <w:basedOn w:val="Bulletedlist2"/>
    <w:rsid w:val="00D43A86"/>
    <w:pPr>
      <w:numPr>
        <w:ilvl w:val="2"/>
      </w:numPr>
    </w:pPr>
  </w:style>
  <w:style w:type="paragraph" w:customStyle="1" w:styleId="Bulletedlist4">
    <w:name w:val="Bulletedlist4"/>
    <w:basedOn w:val="Bulletedlist3"/>
    <w:rsid w:val="00D43A86"/>
    <w:pPr>
      <w:numPr>
        <w:ilvl w:val="3"/>
      </w:numPr>
    </w:pPr>
  </w:style>
  <w:style w:type="paragraph" w:customStyle="1" w:styleId="Bulletedlist5">
    <w:name w:val="Bulletedlist5"/>
    <w:basedOn w:val="Bulletedlist4"/>
    <w:rsid w:val="00D43A86"/>
    <w:pPr>
      <w:numPr>
        <w:ilvl w:val="4"/>
      </w:numPr>
    </w:pPr>
  </w:style>
  <w:style w:type="paragraph" w:styleId="ListParagraph">
    <w:name w:val="List Paragraph"/>
    <w:basedOn w:val="Normal"/>
    <w:qFormat/>
    <w:rsid w:val="00D43A86"/>
    <w:pPr>
      <w:ind w:left="720"/>
      <w:contextualSpacing/>
    </w:pPr>
  </w:style>
  <w:style w:type="paragraph" w:styleId="BlockText">
    <w:name w:val="Block Text"/>
    <w:basedOn w:val="Normal"/>
    <w:rsid w:val="00D43A86"/>
    <w:pPr>
      <w:spacing w:after="0"/>
      <w:ind w:left="960" w:right="-502" w:hanging="940"/>
      <w:jc w:val="both"/>
    </w:pPr>
    <w:rPr>
      <w:rFonts w:ascii="Times New Roman" w:eastAsia="Times New Roman" w:hAnsi="Times New Roman"/>
      <w:lang w:eastAsia="it-IT"/>
    </w:rPr>
  </w:style>
  <w:style w:type="character" w:styleId="Hyperlink">
    <w:name w:val="Hyperlink"/>
    <w:rsid w:val="00D43A86"/>
    <w:rPr>
      <w:color w:val="0000FF"/>
      <w:u w:val="single"/>
    </w:rPr>
  </w:style>
  <w:style w:type="character" w:customStyle="1" w:styleId="UnresolvedMention1">
    <w:name w:val="Unresolved Mention1"/>
    <w:rsid w:val="00D43A86"/>
    <w:rPr>
      <w:color w:val="605E5C"/>
      <w:shd w:val="clear" w:color="auto" w:fill="E1DFDD"/>
    </w:rPr>
  </w:style>
  <w:style w:type="character" w:styleId="FollowedHyperlink">
    <w:name w:val="FollowedHyperlink"/>
    <w:rsid w:val="00D43A86"/>
    <w:rPr>
      <w:color w:val="800080"/>
      <w:u w:val="single"/>
    </w:rPr>
  </w:style>
  <w:style w:type="character" w:customStyle="1" w:styleId="invisible">
    <w:name w:val="invisible"/>
    <w:rsid w:val="00D43A86"/>
    <w:rPr>
      <w:color w:val="FFFFFF"/>
    </w:rPr>
  </w:style>
  <w:style w:type="character" w:customStyle="1" w:styleId="aubase">
    <w:name w:val="au_base"/>
    <w:rsid w:val="00D43A86"/>
    <w:rPr>
      <w:sz w:val="24"/>
    </w:rPr>
  </w:style>
  <w:style w:type="character" w:customStyle="1" w:styleId="aucollab">
    <w:name w:val="au_collab"/>
    <w:rsid w:val="00D43A86"/>
    <w:rPr>
      <w:sz w:val="24"/>
      <w:bdr w:val="none" w:sz="0" w:space="0" w:color="auto"/>
      <w:shd w:val="clear" w:color="auto" w:fill="C0C0C0"/>
    </w:rPr>
  </w:style>
  <w:style w:type="character" w:customStyle="1" w:styleId="audeg">
    <w:name w:val="au_deg"/>
    <w:rsid w:val="00D43A86"/>
    <w:rPr>
      <w:sz w:val="24"/>
      <w:bdr w:val="none" w:sz="0" w:space="0" w:color="auto"/>
      <w:shd w:val="clear" w:color="auto" w:fill="FFFF00"/>
    </w:rPr>
  </w:style>
  <w:style w:type="character" w:customStyle="1" w:styleId="aufname">
    <w:name w:val="au_fname"/>
    <w:rsid w:val="00D43A86"/>
    <w:rPr>
      <w:sz w:val="24"/>
      <w:bdr w:val="none" w:sz="0" w:space="0" w:color="auto"/>
      <w:shd w:val="clear" w:color="auto" w:fill="00FFFF"/>
    </w:rPr>
  </w:style>
  <w:style w:type="character" w:customStyle="1" w:styleId="aurole">
    <w:name w:val="au_role"/>
    <w:rsid w:val="00D43A86"/>
    <w:rPr>
      <w:sz w:val="24"/>
      <w:bdr w:val="none" w:sz="0" w:space="0" w:color="auto"/>
      <w:shd w:val="clear" w:color="auto" w:fill="808000"/>
    </w:rPr>
  </w:style>
  <w:style w:type="character" w:customStyle="1" w:styleId="ausuffix">
    <w:name w:val="au_suffix"/>
    <w:rsid w:val="00D43A86"/>
    <w:rPr>
      <w:sz w:val="24"/>
      <w:bdr w:val="none" w:sz="0" w:space="0" w:color="auto"/>
      <w:shd w:val="clear" w:color="auto" w:fill="FF00FF"/>
    </w:rPr>
  </w:style>
  <w:style w:type="character" w:customStyle="1" w:styleId="ausurname">
    <w:name w:val="au_surname"/>
    <w:rsid w:val="00D43A86"/>
    <w:rPr>
      <w:sz w:val="24"/>
      <w:bdr w:val="none" w:sz="0" w:space="0" w:color="auto"/>
      <w:shd w:val="clear" w:color="auto" w:fill="00FF00"/>
    </w:rPr>
  </w:style>
  <w:style w:type="character" w:customStyle="1" w:styleId="bibbase">
    <w:name w:val="bib_base"/>
    <w:rsid w:val="00D43A86"/>
    <w:rPr>
      <w:sz w:val="20"/>
    </w:rPr>
  </w:style>
  <w:style w:type="character" w:customStyle="1" w:styleId="bibarticle">
    <w:name w:val="bib_article"/>
    <w:rsid w:val="00D43A86"/>
    <w:rPr>
      <w:sz w:val="20"/>
      <w:bdr w:val="none" w:sz="0" w:space="0" w:color="auto"/>
      <w:shd w:val="clear" w:color="auto" w:fill="FFFFFF"/>
    </w:rPr>
  </w:style>
  <w:style w:type="character" w:customStyle="1" w:styleId="bibcomment">
    <w:name w:val="bib_comment"/>
    <w:rsid w:val="00D43A86"/>
    <w:rPr>
      <w:sz w:val="20"/>
    </w:rPr>
  </w:style>
  <w:style w:type="character" w:customStyle="1" w:styleId="bibdeg">
    <w:name w:val="bib_deg"/>
    <w:rsid w:val="00D43A86"/>
    <w:rPr>
      <w:sz w:val="20"/>
    </w:rPr>
  </w:style>
  <w:style w:type="character" w:customStyle="1" w:styleId="bibdoi">
    <w:name w:val="bib_doi"/>
    <w:rsid w:val="00D43A86"/>
    <w:rPr>
      <w:sz w:val="20"/>
      <w:bdr w:val="none" w:sz="0" w:space="0" w:color="auto"/>
      <w:shd w:val="clear" w:color="auto" w:fill="FFFFFF"/>
    </w:rPr>
  </w:style>
  <w:style w:type="character" w:customStyle="1" w:styleId="bibetal">
    <w:name w:val="bib_etal"/>
    <w:rsid w:val="00D43A86"/>
    <w:rPr>
      <w:sz w:val="20"/>
      <w:bdr w:val="none" w:sz="0" w:space="0" w:color="auto"/>
      <w:shd w:val="clear" w:color="auto" w:fill="FFFFFF"/>
    </w:rPr>
  </w:style>
  <w:style w:type="character" w:customStyle="1" w:styleId="bibfname">
    <w:name w:val="bib_fname"/>
    <w:rsid w:val="00D43A86"/>
    <w:rPr>
      <w:color w:val="auto"/>
      <w:sz w:val="20"/>
      <w:bdr w:val="none" w:sz="0" w:space="0" w:color="auto"/>
      <w:shd w:val="clear" w:color="auto" w:fill="FFFFFF"/>
    </w:rPr>
  </w:style>
  <w:style w:type="character" w:customStyle="1" w:styleId="bibfpage">
    <w:name w:val="bib_fpage"/>
    <w:rsid w:val="00D43A86"/>
    <w:rPr>
      <w:sz w:val="20"/>
      <w:bdr w:val="none" w:sz="0" w:space="0" w:color="auto"/>
      <w:shd w:val="clear" w:color="auto" w:fill="FFFFFF"/>
    </w:rPr>
  </w:style>
  <w:style w:type="character" w:customStyle="1" w:styleId="bibissue">
    <w:name w:val="bib_issue"/>
    <w:rsid w:val="00D43A86"/>
    <w:rPr>
      <w:sz w:val="20"/>
      <w:bdr w:val="none" w:sz="0" w:space="0" w:color="auto"/>
      <w:shd w:val="clear" w:color="auto" w:fill="FFFFFF"/>
    </w:rPr>
  </w:style>
  <w:style w:type="character" w:customStyle="1" w:styleId="bibjournal">
    <w:name w:val="bib_journal"/>
    <w:rsid w:val="00D43A86"/>
    <w:rPr>
      <w:sz w:val="20"/>
      <w:bdr w:val="none" w:sz="0" w:space="0" w:color="auto"/>
      <w:shd w:val="clear" w:color="auto" w:fill="FFFFFF"/>
    </w:rPr>
  </w:style>
  <w:style w:type="character" w:customStyle="1" w:styleId="biblpage">
    <w:name w:val="bib_lpage"/>
    <w:rsid w:val="00D43A86"/>
    <w:rPr>
      <w:sz w:val="20"/>
      <w:bdr w:val="none" w:sz="0" w:space="0" w:color="auto"/>
      <w:shd w:val="clear" w:color="auto" w:fill="FFFFFF"/>
    </w:rPr>
  </w:style>
  <w:style w:type="character" w:customStyle="1" w:styleId="bibmedline">
    <w:name w:val="bib_medline"/>
    <w:rsid w:val="00D43A86"/>
    <w:rPr>
      <w:sz w:val="20"/>
    </w:rPr>
  </w:style>
  <w:style w:type="character" w:customStyle="1" w:styleId="bibnumber">
    <w:name w:val="bib_number"/>
    <w:rsid w:val="00D43A86"/>
    <w:rPr>
      <w:sz w:val="20"/>
      <w:bdr w:val="none" w:sz="0" w:space="0" w:color="auto"/>
      <w:shd w:val="clear" w:color="auto" w:fill="FFFFFF"/>
    </w:rPr>
  </w:style>
  <w:style w:type="character" w:customStyle="1" w:styleId="biborganization">
    <w:name w:val="bib_organization"/>
    <w:rsid w:val="00D43A86"/>
    <w:rPr>
      <w:sz w:val="20"/>
      <w:bdr w:val="none" w:sz="0" w:space="0" w:color="auto"/>
      <w:shd w:val="clear" w:color="auto" w:fill="FFFFFF"/>
    </w:rPr>
  </w:style>
  <w:style w:type="character" w:customStyle="1" w:styleId="bibsuffix">
    <w:name w:val="bib_suffix"/>
    <w:rsid w:val="00D43A86"/>
    <w:rPr>
      <w:sz w:val="20"/>
      <w:bdr w:val="none" w:sz="0" w:space="0" w:color="auto"/>
      <w:shd w:val="clear" w:color="auto" w:fill="FFFFFF"/>
    </w:rPr>
  </w:style>
  <w:style w:type="character" w:customStyle="1" w:styleId="bibsuppl">
    <w:name w:val="bib_suppl"/>
    <w:rsid w:val="00D43A86"/>
    <w:rPr>
      <w:sz w:val="20"/>
      <w:bdr w:val="none" w:sz="0" w:space="0" w:color="auto"/>
      <w:shd w:val="clear" w:color="auto" w:fill="FFFFFF"/>
    </w:rPr>
  </w:style>
  <w:style w:type="character" w:customStyle="1" w:styleId="bibsurname">
    <w:name w:val="bib_surname"/>
    <w:rsid w:val="00D43A86"/>
    <w:rPr>
      <w:sz w:val="20"/>
      <w:bdr w:val="none" w:sz="0" w:space="0" w:color="auto"/>
      <w:shd w:val="clear" w:color="auto" w:fill="FFFFFF"/>
    </w:rPr>
  </w:style>
  <w:style w:type="character" w:customStyle="1" w:styleId="bibunpubl">
    <w:name w:val="bib_unpubl"/>
    <w:rsid w:val="00D43A86"/>
    <w:rPr>
      <w:sz w:val="20"/>
    </w:rPr>
  </w:style>
  <w:style w:type="character" w:customStyle="1" w:styleId="biburl">
    <w:name w:val="bib_url"/>
    <w:rsid w:val="00D43A86"/>
    <w:rPr>
      <w:sz w:val="20"/>
      <w:bdr w:val="none" w:sz="0" w:space="0" w:color="auto"/>
      <w:shd w:val="clear" w:color="auto" w:fill="FFFFFF"/>
    </w:rPr>
  </w:style>
  <w:style w:type="character" w:customStyle="1" w:styleId="bibvolume">
    <w:name w:val="bib_volume"/>
    <w:rsid w:val="00D43A86"/>
    <w:rPr>
      <w:sz w:val="20"/>
      <w:bdr w:val="none" w:sz="0" w:space="0" w:color="auto"/>
      <w:shd w:val="clear" w:color="auto" w:fill="FFFFFF"/>
    </w:rPr>
  </w:style>
  <w:style w:type="character" w:customStyle="1" w:styleId="bibyear">
    <w:name w:val="bib_year"/>
    <w:rsid w:val="00D43A86"/>
    <w:rPr>
      <w:sz w:val="20"/>
      <w:bdr w:val="none" w:sz="0" w:space="0" w:color="auto"/>
      <w:shd w:val="clear" w:color="auto" w:fill="FFFFFF"/>
    </w:rPr>
  </w:style>
  <w:style w:type="character" w:customStyle="1" w:styleId="citebase">
    <w:name w:val="cite_base"/>
    <w:rsid w:val="00D43A86"/>
    <w:rPr>
      <w:sz w:val="24"/>
    </w:rPr>
  </w:style>
  <w:style w:type="character" w:customStyle="1" w:styleId="citebib">
    <w:name w:val="cite_bib"/>
    <w:rsid w:val="00D43A86"/>
    <w:rPr>
      <w:sz w:val="24"/>
      <w:bdr w:val="none" w:sz="0" w:space="0" w:color="auto"/>
      <w:shd w:val="clear" w:color="auto" w:fill="FFFFFF"/>
      <w:vertAlign w:val="baseline"/>
    </w:rPr>
  </w:style>
  <w:style w:type="character" w:customStyle="1" w:styleId="citebox">
    <w:name w:val="cite_box"/>
    <w:rsid w:val="00D43A86"/>
    <w:rPr>
      <w:sz w:val="24"/>
      <w:bdr w:val="none" w:sz="0" w:space="0" w:color="auto"/>
      <w:shd w:val="clear" w:color="auto" w:fill="FFFFFF"/>
    </w:rPr>
  </w:style>
  <w:style w:type="character" w:customStyle="1" w:styleId="citeen">
    <w:name w:val="cite_en"/>
    <w:rsid w:val="00D43A86"/>
    <w:rPr>
      <w:sz w:val="24"/>
      <w:shd w:val="clear" w:color="auto" w:fill="FFFFFF"/>
      <w:vertAlign w:val="superscript"/>
    </w:rPr>
  </w:style>
  <w:style w:type="character" w:customStyle="1" w:styleId="citefig">
    <w:name w:val="cite_fig"/>
    <w:rsid w:val="00D43A86"/>
    <w:rPr>
      <w:color w:val="000000"/>
      <w:sz w:val="24"/>
      <w:bdr w:val="none" w:sz="0" w:space="0" w:color="auto"/>
      <w:shd w:val="clear" w:color="auto" w:fill="FFFFFF"/>
    </w:rPr>
  </w:style>
  <w:style w:type="character" w:customStyle="1" w:styleId="citefn">
    <w:name w:val="cite_fn"/>
    <w:rsid w:val="00D43A86"/>
    <w:rPr>
      <w:color w:val="000000"/>
      <w:sz w:val="24"/>
      <w:bdr w:val="none" w:sz="0" w:space="0" w:color="auto"/>
      <w:shd w:val="clear" w:color="auto" w:fill="FFFFFF"/>
      <w:vertAlign w:val="superscript"/>
    </w:rPr>
  </w:style>
  <w:style w:type="character" w:customStyle="1" w:styleId="citetbl">
    <w:name w:val="cite_tbl"/>
    <w:rsid w:val="00D43A86"/>
    <w:rPr>
      <w:color w:val="000000"/>
      <w:sz w:val="24"/>
      <w:bdr w:val="none" w:sz="0" w:space="0" w:color="auto"/>
      <w:shd w:val="clear" w:color="auto" w:fill="FFFFFF"/>
    </w:rPr>
  </w:style>
  <w:style w:type="character" w:customStyle="1" w:styleId="eqno">
    <w:name w:val="eq_no"/>
    <w:rsid w:val="00D43A86"/>
    <w:rPr>
      <w:sz w:val="24"/>
    </w:rPr>
  </w:style>
  <w:style w:type="character" w:customStyle="1" w:styleId="bibtitle">
    <w:name w:val="bib_title"/>
    <w:rsid w:val="00D43A86"/>
    <w:rPr>
      <w:sz w:val="20"/>
      <w:bdr w:val="none" w:sz="0" w:space="0" w:color="auto"/>
      <w:shd w:val="clear" w:color="auto" w:fill="FFFFFF"/>
    </w:rPr>
  </w:style>
  <w:style w:type="character" w:customStyle="1" w:styleId="bibeds">
    <w:name w:val="bib_eds"/>
    <w:rsid w:val="00D43A86"/>
    <w:rPr>
      <w:sz w:val="20"/>
      <w:bdr w:val="none" w:sz="0" w:space="0" w:color="auto"/>
      <w:shd w:val="clear" w:color="auto" w:fill="FFFFFF"/>
    </w:rPr>
  </w:style>
  <w:style w:type="character" w:customStyle="1" w:styleId="auprefix">
    <w:name w:val="au_prefix"/>
    <w:rsid w:val="00D43A86"/>
    <w:rPr>
      <w:sz w:val="24"/>
      <w:bdr w:val="none" w:sz="0" w:space="0" w:color="auto"/>
      <w:shd w:val="clear" w:color="auto" w:fill="FFCC99"/>
    </w:rPr>
  </w:style>
  <w:style w:type="character" w:customStyle="1" w:styleId="auaddress">
    <w:name w:val="au_address"/>
    <w:rsid w:val="00D43A86"/>
    <w:rPr>
      <w:sz w:val="24"/>
      <w:bdr w:val="none" w:sz="0" w:space="0" w:color="auto"/>
      <w:shd w:val="clear" w:color="auto" w:fill="FF99FF"/>
    </w:rPr>
  </w:style>
  <w:style w:type="paragraph" w:customStyle="1" w:styleId="Suggestedreading">
    <w:name w:val="Suggested reading"/>
    <w:basedOn w:val="Reference"/>
    <w:rsid w:val="00D43A86"/>
    <w:pPr>
      <w:autoSpaceDE w:val="0"/>
      <w:autoSpaceDN w:val="0"/>
      <w:adjustRightInd w:val="0"/>
    </w:pPr>
    <w:rPr>
      <w:rFonts w:eastAsia="Times New Roman"/>
    </w:rPr>
  </w:style>
  <w:style w:type="paragraph" w:customStyle="1" w:styleId="Reference-annotation">
    <w:name w:val="Reference-annotation"/>
    <w:basedOn w:val="Normal"/>
    <w:rsid w:val="00D43A86"/>
    <w:rPr>
      <w:rFonts w:eastAsia="Times New Roman"/>
      <w:sz w:val="20"/>
    </w:rPr>
  </w:style>
  <w:style w:type="paragraph" w:customStyle="1" w:styleId="Tablerowhead">
    <w:name w:val="Table rowhead"/>
    <w:basedOn w:val="Normal"/>
    <w:rsid w:val="00D43A86"/>
    <w:pPr>
      <w:spacing w:after="0"/>
    </w:pPr>
    <w:rPr>
      <w:rFonts w:eastAsia="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book-part://ProteinKinaseInhibit/" TargetMode="External"/><Relationship Id="rId13" Type="http://schemas.openxmlformats.org/officeDocument/2006/relationships/hyperlink" Target="https://clinicaltrials.gov/ct2/results?term=Olaparib" TargetMode="External"/><Relationship Id="rId3" Type="http://schemas.openxmlformats.org/officeDocument/2006/relationships/settings" Target="settings.xml"/><Relationship Id="rId7" Type="http://schemas.openxmlformats.org/officeDocument/2006/relationships/hyperlink" Target="book-part://AntineoplasticAgents/" TargetMode="External"/><Relationship Id="rId12" Type="http://schemas.openxmlformats.org/officeDocument/2006/relationships/hyperlink" Target="https://www.ncbi.nlm.nih.gov/sites/entrez?cmd=search&amp;db=pubmed&amp;pubmedfilters=true&amp;term=Olaparib+AND+Human%5BMH%5D+AND+(drug+induced+liver+injury+OR+jaundice/CI+OR+bile+duct+diseases/CI+OR+liver/DE+OR+liver+diseases/CI)+AND+(%221900/1/1%22%5BEDat%5D:%222999/12/31%22%5BEDat%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id://13526105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ailymed.nlm.nih.gov/dailymed/search.cfm?label=all&amp;query=Olaparib" TargetMode="External"/><Relationship Id="rId4" Type="http://schemas.openxmlformats.org/officeDocument/2006/relationships/webSettings" Target="webSettings.xml"/><Relationship Id="rId9" Type="http://schemas.openxmlformats.org/officeDocument/2006/relationships/hyperlink" Target="book-part://Rucapari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Round Trip Document</vt:lpstr>
    </vt:vector>
  </TitlesOfParts>
  <Company>NCBI/NLM/NIH</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Trip Document</dc:title>
  <dc:subject/>
  <dc:creator>Word</dc:creator>
  <cp:keywords/>
  <dc:description/>
  <cp:lastModifiedBy>Gonzalez, Lisandro (NIH/NLM/NCBI) [C]</cp:lastModifiedBy>
  <cp:revision>3</cp:revision>
  <cp:lastPrinted>2004-11-04T14:23:00Z</cp:lastPrinted>
  <dcterms:created xsi:type="dcterms:W3CDTF">2026-05-20T16:27:00Z</dcterms:created>
  <dcterms:modified xsi:type="dcterms:W3CDTF">2026-05-28T20:53:00Z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WordXMLConversion">
    <vt:lpwstr>yes</vt:lpwstr>
  </property>
  <property fmtid="{D5CDD505-2E9C-101B-9397-08002B2CF9AE}" pid="3" name="_IDPrefix">
    <vt:lpwstr>
					Olaparib
				</vt:lpwstr>
  </property>
  <property fmtid="{D5CDD505-2E9C-101B-9397-08002B2CF9AE}" pid="4" name="_endnote_markup">
    <vt:bool>false</vt:bool>
  </property>
  <property fmtid="{D5CDD505-2E9C-101B-9397-08002B2CF9AE}" pid="5" name="_extyles_markup">
    <vt:bool>false</vt:bool>
  </property>
  <property fmtid="{D5CDD505-2E9C-101B-9397-08002B2CF9AE}" pid="6" name="_ncbi_ref_markup">
    <vt:bool>false</vt:bool>
  </property>
  <property fmtid="{D5CDD505-2E9C-101B-9397-08002B2CF9AE}" pid="7" name="_genereview">
    <vt:bool>false</vt:bool>
  </property>
  <property fmtid="{D5CDD505-2E9C-101B-9397-08002B2CF9AE}" pid="8" name="_citation_inside_parenthesis">
    <vt:bool>false</vt:bool>
  </property>
  <property fmtid="{D5CDD505-2E9C-101B-9397-08002B2CF9AE}" pid="9" name="x_a">
    <vt:bool>false</vt:bool>
  </property>
  <property fmtid="{D5CDD505-2E9C-101B-9397-08002B2CF9AE}" pid="10" name="x_p">
    <vt:bool>false</vt:bool>
  </property>
  <property fmtid="{D5CDD505-2E9C-101B-9397-08002B2CF9AE}" pid="11" name="x_t">
    <vt:bool>true</vt:bool>
  </property>
</Properties>
</file>