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BB220" w14:textId="77777777" w:rsidR="003A5039" w:rsidRDefault="00F5422D" w:rsidP="00237B2B">
      <w:pPr>
        <w:pStyle w:val="Comment"/>
      </w:pPr>
      <w:bookmarkStart w:id="0" w:name="_GoBack"/>
      <w:bookmarkEnd w:id="0"/>
      <w:r>
        <w:t>Use this form to tell us important information about this document, then start the text on the following page. All information you give in this form will appear in the document</w:t>
      </w:r>
      <w:r w:rsidR="003D3D87">
        <w:t xml:space="preserve">, </w:t>
      </w:r>
      <w:r w:rsidR="00984692">
        <w:t>or affect the way it is handled online</w:t>
      </w:r>
      <w:r>
        <w:t>.</w:t>
      </w:r>
    </w:p>
    <w:p w14:paraId="49BD44C0" w14:textId="77777777" w:rsidR="00A45F16" w:rsidRDefault="00A45F16" w:rsidP="00A45F16"/>
    <w:tbl>
      <w:tblPr>
        <w:tblW w:w="0" w:type="auto"/>
        <w:tblLook w:val="0020" w:firstRow="1" w:lastRow="0" w:firstColumn="0" w:lastColumn="0" w:noHBand="0" w:noVBand="0"/>
      </w:tblPr>
      <w:tblGrid>
        <w:gridCol w:w="1504"/>
        <w:gridCol w:w="647"/>
        <w:gridCol w:w="2146"/>
      </w:tblGrid>
      <w:tr w:rsidR="00A45F16" w14:paraId="0296A5F2" w14:textId="77777777" w:rsidTr="008833CA">
        <w:trPr>
          <w:cantSplit/>
          <w:trHeight w:val="432"/>
        </w:trPr>
        <w:tc>
          <w:tcPr>
            <w:tcW w:w="0" w:type="auto"/>
            <w:gridSpan w:val="3"/>
            <w:tcBorders>
              <w:bottom w:val="single" w:sz="12" w:space="0" w:color="990000"/>
            </w:tcBorders>
            <w:shd w:val="clear" w:color="auto" w:fill="E6E6E6"/>
            <w:vAlign w:val="center"/>
          </w:tcPr>
          <w:p w14:paraId="7D034C64" w14:textId="77777777" w:rsidR="00A45F16" w:rsidRDefault="00A45F16" w:rsidP="008833CA">
            <w:pPr>
              <w:spacing w:after="0"/>
              <w:rPr>
                <w:b/>
                <w:sz w:val="20"/>
              </w:rPr>
            </w:pPr>
            <w:r>
              <w:rPr>
                <w:b/>
                <w:sz w:val="20"/>
              </w:rPr>
              <w:t>Document Information</w:t>
            </w:r>
          </w:p>
        </w:tc>
      </w:tr>
      <w:tr w:rsidR="00054667" w14:paraId="7A5E5876" w14:textId="77777777" w:rsidTr="008833CA">
        <w:trPr>
          <w:trHeight w:val="288"/>
        </w:trPr>
        <w:tc>
          <w:tcPr>
            <w:tcW w:w="0" w:type="auto"/>
            <w:tcBorders>
              <w:top w:val="single" w:sz="12" w:space="0" w:color="990000"/>
              <w:bottom w:val="single" w:sz="4" w:space="0" w:color="auto"/>
            </w:tcBorders>
            <w:vAlign w:val="bottom"/>
          </w:tcPr>
          <w:p w14:paraId="6868F414" w14:textId="77777777" w:rsidR="00054667" w:rsidRDefault="00054667" w:rsidP="008833CA">
            <w:pPr>
              <w:spacing w:after="0"/>
              <w:rPr>
                <w:sz w:val="20"/>
              </w:rPr>
            </w:pPr>
            <w:r>
              <w:rPr>
                <w:sz w:val="20"/>
              </w:rPr>
              <w:t>Document Type</w:t>
            </w:r>
          </w:p>
        </w:tc>
        <w:tc>
          <w:tcPr>
            <w:tcW w:w="0" w:type="auto"/>
            <w:tcBorders>
              <w:top w:val="single" w:sz="12" w:space="0" w:color="990000"/>
              <w:bottom w:val="single" w:sz="4" w:space="0" w:color="auto"/>
            </w:tcBorders>
            <w:vAlign w:val="bottom"/>
          </w:tcPr>
          <w:p w14:paraId="1D6881D4" w14:textId="77777777" w:rsidR="00054667" w:rsidRDefault="00054667" w:rsidP="008833CA">
            <w:pPr>
              <w:spacing w:after="0"/>
              <w:rPr>
                <w:sz w:val="20"/>
              </w:rPr>
            </w:pPr>
            <w:r>
              <w:rPr>
                <w:sz w:val="20"/>
              </w:rPr>
              <w:t>Label</w:t>
            </w:r>
          </w:p>
        </w:tc>
        <w:tc>
          <w:tcPr>
            <w:tcW w:w="0" w:type="auto"/>
            <w:tcBorders>
              <w:top w:val="single" w:sz="12" w:space="0" w:color="990000"/>
              <w:bottom w:val="single" w:sz="4" w:space="0" w:color="auto"/>
            </w:tcBorders>
            <w:shd w:val="clear" w:color="auto" w:fill="auto"/>
            <w:tcMar>
              <w:top w:w="0" w:type="dxa"/>
              <w:left w:w="58" w:type="dxa"/>
              <w:bottom w:w="29" w:type="dxa"/>
              <w:right w:w="115" w:type="dxa"/>
            </w:tcMar>
            <w:vAlign w:val="bottom"/>
          </w:tcPr>
          <w:p w14:paraId="16273D7C" w14:textId="77777777" w:rsidR="00054667" w:rsidRDefault="00054667" w:rsidP="008833CA">
            <w:pPr>
              <w:spacing w:after="0"/>
              <w:rPr>
                <w:sz w:val="20"/>
              </w:rPr>
            </w:pPr>
            <w:r>
              <w:rPr>
                <w:sz w:val="20"/>
              </w:rPr>
              <w:t>Updated (YYYY-MM-DD)</w:t>
            </w:r>
          </w:p>
        </w:tc>
      </w:tr>
      <w:tr w:rsidR="00054667" w14:paraId="5F08938E" w14:textId="77777777" w:rsidTr="008833CA">
        <w:trPr>
          <w:trHeight w:val="288"/>
        </w:trPr>
        <w:tc>
          <w:tcPr>
            <w:tcW w:w="0" w:type="auto"/>
            <w:tcBorders>
              <w:top w:val="single" w:sz="4" w:space="0" w:color="auto"/>
              <w:bottom w:val="single" w:sz="4" w:space="0" w:color="auto"/>
            </w:tcBorders>
            <w:vAlign w:val="bottom"/>
          </w:tcPr>
          <w:p w14:paraId="107495D7" w14:textId="495697DA" w:rsidR="00054667" w:rsidRDefault="00054667" w:rsidP="008833CA">
            <w:pPr>
              <w:spacing w:after="0"/>
              <w:rPr>
                <w:sz w:val="20"/>
              </w:rPr>
            </w:pPr>
            <w:r>
              <w:rPr>
                <w:sz w:val="20"/>
              </w:rPr>
              <w:t>Chapter</w:t>
            </w:r>
          </w:p>
        </w:tc>
        <w:tc>
          <w:tcPr>
            <w:tcW w:w="0" w:type="auto"/>
            <w:tcBorders>
              <w:top w:val="single" w:sz="4" w:space="0" w:color="auto"/>
              <w:bottom w:val="single" w:sz="4" w:space="0" w:color="auto"/>
            </w:tcBorders>
            <w:vAlign w:val="bottom"/>
          </w:tcPr>
          <w:p w14:paraId="63A50D07" w14:textId="77777777" w:rsidR="00054667" w:rsidRDefault="00054667" w:rsidP="008833CA">
            <w:pPr>
              <w:spacing w:after="0"/>
              <w:rPr>
                <w:sz w:val="20"/>
              </w:rPr>
            </w:pPr>
          </w:p>
        </w:tc>
        <w:tc>
          <w:tcPr>
            <w:tcW w:w="0" w:type="auto"/>
            <w:tcBorders>
              <w:top w:val="single" w:sz="4" w:space="0" w:color="auto"/>
              <w:bottom w:val="single" w:sz="4" w:space="0" w:color="auto"/>
            </w:tcBorders>
            <w:shd w:val="clear" w:color="auto" w:fill="auto"/>
            <w:tcMar>
              <w:top w:w="0" w:type="dxa"/>
              <w:left w:w="58" w:type="dxa"/>
              <w:bottom w:w="29" w:type="dxa"/>
              <w:right w:w="115" w:type="dxa"/>
            </w:tcMar>
            <w:vAlign w:val="bottom"/>
          </w:tcPr>
          <w:p w14:paraId="4E86EA35" w14:textId="6AF0F9D4" w:rsidR="00054667" w:rsidRDefault="00054667" w:rsidP="008833CA">
            <w:pPr>
              <w:spacing w:after="0"/>
              <w:rPr>
                <w:sz w:val="20"/>
              </w:rPr>
            </w:pPr>
            <w:r>
              <w:rPr>
                <w:sz w:val="20"/>
              </w:rPr>
              <w:t>2019-05-04</w:t>
            </w:r>
          </w:p>
        </w:tc>
      </w:tr>
    </w:tbl>
    <w:p w14:paraId="67119862" w14:textId="77777777" w:rsidR="00A45F16" w:rsidRDefault="00A45F16" w:rsidP="00A45F16">
      <w:pPr>
        <w:pStyle w:val="Comment"/>
      </w:pPr>
      <w:r>
        <w:t>Note: for “Document Type”, choose only one of the following: appendix, chapter, dedication, foreword, front-matter-part, glossary, preface, ref-list, or section.</w:t>
      </w:r>
    </w:p>
    <w:p w14:paraId="290FD3BA" w14:textId="77777777" w:rsidR="004D7185" w:rsidRDefault="004D7185" w:rsidP="008D0631"/>
    <w:tbl>
      <w:tblPr>
        <w:tblW w:w="0" w:type="auto"/>
        <w:tblLook w:val="0020" w:firstRow="1" w:lastRow="0" w:firstColumn="0" w:lastColumn="0" w:noHBand="0" w:noVBand="0"/>
      </w:tblPr>
      <w:tblGrid>
        <w:gridCol w:w="2610"/>
        <w:gridCol w:w="2340"/>
        <w:gridCol w:w="1530"/>
      </w:tblGrid>
      <w:tr w:rsidR="00984692" w14:paraId="586FC8EB" w14:textId="77777777" w:rsidTr="00984692">
        <w:trPr>
          <w:cantSplit/>
          <w:trHeight w:val="432"/>
        </w:trPr>
        <w:tc>
          <w:tcPr>
            <w:tcW w:w="6480" w:type="dxa"/>
            <w:gridSpan w:val="3"/>
            <w:tcBorders>
              <w:bottom w:val="single" w:sz="12" w:space="0" w:color="990000"/>
            </w:tcBorders>
            <w:shd w:val="clear" w:color="auto" w:fill="E6E6E6"/>
            <w:vAlign w:val="center"/>
          </w:tcPr>
          <w:p w14:paraId="5F3A3E2A" w14:textId="77777777" w:rsidR="00984692" w:rsidRDefault="00984692" w:rsidP="003D1DD1">
            <w:pPr>
              <w:spacing w:after="0"/>
              <w:rPr>
                <w:b/>
                <w:sz w:val="20"/>
              </w:rPr>
            </w:pPr>
            <w:r>
              <w:rPr>
                <w:b/>
                <w:sz w:val="20"/>
              </w:rPr>
              <w:t>Supplement</w:t>
            </w:r>
            <w:r w:rsidR="003D1DD1">
              <w:rPr>
                <w:b/>
                <w:sz w:val="20"/>
              </w:rPr>
              <w:t>ary</w:t>
            </w:r>
            <w:r>
              <w:rPr>
                <w:b/>
                <w:sz w:val="20"/>
              </w:rPr>
              <w:t xml:space="preserve"> Information</w:t>
            </w:r>
          </w:p>
        </w:tc>
      </w:tr>
      <w:tr w:rsidR="00054667" w14:paraId="5704E1F8" w14:textId="77777777" w:rsidTr="00984692">
        <w:trPr>
          <w:gridAfter w:val="1"/>
          <w:wAfter w:w="1530" w:type="dxa"/>
          <w:trHeight w:val="288"/>
        </w:trPr>
        <w:tc>
          <w:tcPr>
            <w:tcW w:w="2610" w:type="dxa"/>
            <w:tcBorders>
              <w:top w:val="single" w:sz="12" w:space="0" w:color="990000"/>
              <w:bottom w:val="single" w:sz="4" w:space="0" w:color="auto"/>
            </w:tcBorders>
            <w:vAlign w:val="bottom"/>
          </w:tcPr>
          <w:p w14:paraId="4CF2F8FC" w14:textId="77777777" w:rsidR="00054667" w:rsidRDefault="00054667" w:rsidP="00984692">
            <w:pPr>
              <w:spacing w:after="0"/>
              <w:rPr>
                <w:sz w:val="20"/>
              </w:rPr>
            </w:pPr>
            <w:r>
              <w:rPr>
                <w:sz w:val="20"/>
              </w:rPr>
              <w:t>Include in Book TOC? (Yes or No)</w:t>
            </w:r>
          </w:p>
        </w:tc>
        <w:tc>
          <w:tcPr>
            <w:tcW w:w="2340" w:type="dxa"/>
            <w:tcBorders>
              <w:top w:val="single" w:sz="12" w:space="0" w:color="990000"/>
              <w:bottom w:val="single" w:sz="4" w:space="0" w:color="auto"/>
            </w:tcBorders>
            <w:shd w:val="clear" w:color="auto" w:fill="auto"/>
            <w:tcMar>
              <w:top w:w="0" w:type="dxa"/>
              <w:left w:w="58" w:type="dxa"/>
              <w:bottom w:w="29" w:type="dxa"/>
              <w:right w:w="115" w:type="dxa"/>
            </w:tcMar>
            <w:vAlign w:val="bottom"/>
          </w:tcPr>
          <w:p w14:paraId="2046CBCB" w14:textId="77777777" w:rsidR="00054667" w:rsidRDefault="00054667" w:rsidP="00984692">
            <w:pPr>
              <w:spacing w:after="0"/>
              <w:rPr>
                <w:sz w:val="20"/>
              </w:rPr>
            </w:pPr>
            <w:r>
              <w:rPr>
                <w:sz w:val="20"/>
              </w:rPr>
              <w:t>Generate in-page TOC listing?(Yes or No)</w:t>
            </w:r>
          </w:p>
        </w:tc>
      </w:tr>
      <w:tr w:rsidR="00054667" w14:paraId="27C39A8E" w14:textId="77777777" w:rsidTr="00984692">
        <w:trPr>
          <w:gridAfter w:val="1"/>
          <w:wAfter w:w="1530" w:type="dxa"/>
          <w:trHeight w:val="288"/>
        </w:trPr>
        <w:tc>
          <w:tcPr>
            <w:tcW w:w="2610" w:type="dxa"/>
            <w:tcBorders>
              <w:top w:val="single" w:sz="4" w:space="0" w:color="auto"/>
              <w:bottom w:val="single" w:sz="4" w:space="0" w:color="auto"/>
            </w:tcBorders>
            <w:vAlign w:val="bottom"/>
          </w:tcPr>
          <w:p w14:paraId="33FECB29" w14:textId="201E7567" w:rsidR="00054667" w:rsidRDefault="00054667" w:rsidP="00480F07">
            <w:pPr>
              <w:spacing w:after="0"/>
              <w:rPr>
                <w:sz w:val="20"/>
              </w:rPr>
            </w:pPr>
            <w:r>
              <w:rPr>
                <w:sz w:val="20"/>
              </w:rPr>
              <w:t>No</w:t>
            </w:r>
          </w:p>
        </w:tc>
        <w:tc>
          <w:tcPr>
            <w:tcW w:w="2340" w:type="dxa"/>
            <w:tcBorders>
              <w:top w:val="single" w:sz="4" w:space="0" w:color="auto"/>
              <w:bottom w:val="single" w:sz="4" w:space="0" w:color="auto"/>
            </w:tcBorders>
            <w:shd w:val="clear" w:color="auto" w:fill="auto"/>
            <w:tcMar>
              <w:top w:w="0" w:type="dxa"/>
              <w:left w:w="58" w:type="dxa"/>
              <w:bottom w:w="29" w:type="dxa"/>
              <w:right w:w="115" w:type="dxa"/>
            </w:tcMar>
            <w:vAlign w:val="bottom"/>
          </w:tcPr>
          <w:p w14:paraId="50C4C4ED" w14:textId="1113051F" w:rsidR="00054667" w:rsidRDefault="00054667" w:rsidP="00480F07">
            <w:pPr>
              <w:spacing w:after="0"/>
              <w:rPr>
                <w:sz w:val="20"/>
              </w:rPr>
            </w:pPr>
            <w:r>
              <w:rPr>
                <w:sz w:val="20"/>
              </w:rPr>
              <w:t>No</w:t>
            </w:r>
          </w:p>
        </w:tc>
      </w:tr>
    </w:tbl>
    <w:p w14:paraId="160D06FD" w14:textId="77777777" w:rsidR="00984692" w:rsidRDefault="000A211F" w:rsidP="000A211F">
      <w:pPr>
        <w:pStyle w:val="Comment"/>
      </w:pPr>
      <w:r>
        <w:t>Blank or “Yes” is the default value, indicating these features will apply to the document.</w:t>
      </w:r>
    </w:p>
    <w:p w14:paraId="6526B846" w14:textId="77777777" w:rsidR="00486344" w:rsidRDefault="00486344" w:rsidP="00486344"/>
    <w:p w14:paraId="19784377" w14:textId="77777777" w:rsidR="00C80605" w:rsidRPr="00486344" w:rsidRDefault="00C80605" w:rsidP="00486344"/>
    <w:p w14:paraId="35C0E8EC" w14:textId="77777777" w:rsidR="003E2CF2" w:rsidRDefault="003E2CF2" w:rsidP="003E2CF2">
      <w:pPr>
        <w:sectPr w:rsidR="003E2CF2" w:rsidSect="00AD2F0B">
          <w:type w:val="continuous"/>
          <w:pgSz w:w="12240" w:h="15840" w:code="1"/>
          <w:pgMar w:top="1080" w:right="1080" w:bottom="1080" w:left="1080" w:header="0" w:footer="0" w:gutter="0"/>
          <w:cols w:space="720"/>
          <w:docGrid w:linePitch="326"/>
        </w:sectPr>
      </w:pPr>
    </w:p>
    <w:p w14:paraId="44B48485" w14:textId="59E59157" w:rsidR="009256D4" w:rsidRDefault="009256D4" w:rsidP="009256D4"/>
    <w:p w14:paraId="03BC8CF4" w14:textId="77777777" w:rsidR="005C1755" w:rsidRDefault="005C1755" w:rsidP="005C1755"/>
    <w:p w14:paraId="73781D6B" w14:textId="77777777" w:rsidR="005C1755" w:rsidRDefault="005C1755" w:rsidP="005C1755">
      <w:pPr>
        <w:pStyle w:val="Heading1"/>
      </w:pPr>
      <w:r>
        <w:t>Nonalcoholic Fatty Liver</w:t>
      </w:r>
    </w:p>
    <w:p w14:paraId="620D7539" w14:textId="77777777" w:rsidR="005C1755" w:rsidRDefault="005C1755" w:rsidP="005C1755">
      <w:r>
        <w:t xml:space="preserve"> </w:t>
      </w:r>
    </w:p>
    <w:p w14:paraId="39570684" w14:textId="77777777" w:rsidR="005C1755" w:rsidRDefault="005C1755" w:rsidP="005C1755"/>
    <w:p w14:paraId="5AA1C4A0" w14:textId="77777777" w:rsidR="005C1755" w:rsidRDefault="005C1755" w:rsidP="005C1755">
      <w:r w:rsidRPr="005C1755">
        <w:rPr>
          <w:b/>
        </w:rPr>
        <w:t>Description</w:t>
      </w:r>
      <w:r>
        <w:t>.  Nonalcoholic fatty liver disease (NAFLD) and steatohepatitis are well documented but rare forms of drug induced liver injury.  In addition, fatty liver disease is more often chronic than acute even when drug induced.  Drug induced fatty liver is characterized by mild to moderate serum enzyme elevations, generally with a hepatocellular pattern arising in a patient with fatty liver, as shown by liver biopsy or imaging tests, usually ultrasound.  The clinical presentation resembles nonalcoholic fatty liver disease and may sometimes merely represent exacerbation of an underlying NAFLD caused by the medication or weight gain triggered by the medication.</w:t>
      </w:r>
    </w:p>
    <w:p w14:paraId="0B0123B1" w14:textId="77777777" w:rsidR="005C1755" w:rsidRDefault="005C1755" w:rsidP="005C1755">
      <w:r>
        <w:t xml:space="preserve"> </w:t>
      </w:r>
    </w:p>
    <w:p w14:paraId="45C2F08D" w14:textId="77777777" w:rsidR="005C1755" w:rsidRDefault="005C1755" w:rsidP="005C1755"/>
    <w:p w14:paraId="6293345A" w14:textId="77777777" w:rsidR="005C1755" w:rsidRDefault="005C1755" w:rsidP="005C1755">
      <w:r w:rsidRPr="005C1755">
        <w:rPr>
          <w:b/>
        </w:rPr>
        <w:t>Latency to Onset</w:t>
      </w:r>
      <w:r>
        <w:t>.  The time to onset of NAFLD is typically 3 to 12 months, but may occur up years after starting medication.</w:t>
      </w:r>
    </w:p>
    <w:p w14:paraId="444C4673" w14:textId="77777777" w:rsidR="005C1755" w:rsidRDefault="005C1755" w:rsidP="005C1755">
      <w:r>
        <w:t xml:space="preserve"> </w:t>
      </w:r>
    </w:p>
    <w:p w14:paraId="3D3776E1" w14:textId="77777777" w:rsidR="005C1755" w:rsidRDefault="005C1755" w:rsidP="005C1755"/>
    <w:p w14:paraId="13D86C0F" w14:textId="77777777" w:rsidR="005C1755" w:rsidRDefault="005C1755" w:rsidP="005C1755">
      <w:r w:rsidRPr="005C1755">
        <w:rPr>
          <w:b/>
        </w:rPr>
        <w:t>Symptoms</w:t>
      </w:r>
      <w:r>
        <w:t xml:space="preserve">.  Symptoms are usually absent or mild and nonspecific.  The diagnosis is usually made based upon laboratory or imaging test results done routinely or for an independent </w:t>
      </w:r>
      <w:r>
        <w:lastRenderedPageBreak/>
        <w:t>reason.  Dark urine, jaundice, and pruritus are uncommon and immunoallergic features are rarely present.</w:t>
      </w:r>
    </w:p>
    <w:p w14:paraId="70B63883" w14:textId="77777777" w:rsidR="005C1755" w:rsidRDefault="005C1755" w:rsidP="005C1755">
      <w:r>
        <w:t xml:space="preserve"> </w:t>
      </w:r>
    </w:p>
    <w:p w14:paraId="19A2FB38" w14:textId="77777777" w:rsidR="005C1755" w:rsidRDefault="005C1755" w:rsidP="005C1755"/>
    <w:p w14:paraId="1C8C501D" w14:textId="77777777" w:rsidR="005C1755" w:rsidRDefault="005C1755" w:rsidP="005C1755">
      <w:r w:rsidRPr="005C1755">
        <w:rPr>
          <w:b/>
        </w:rPr>
        <w:t>Serum Enzyme Elevations</w:t>
      </w:r>
      <w:r>
        <w:t>.  Serum enzymes are usually only mildly elevated, typically in a hepatocellular pattern, more suggestive of chronic rather than acute hepatitis.  Serum bilirubin is rarely elevated and the INR is preserved unless cirrhosis is present.</w:t>
      </w:r>
    </w:p>
    <w:p w14:paraId="4DEA27ED" w14:textId="77777777" w:rsidR="005C1755" w:rsidRDefault="005C1755" w:rsidP="005C1755">
      <w:r>
        <w:t xml:space="preserve"> </w:t>
      </w:r>
    </w:p>
    <w:p w14:paraId="2B0A7C33" w14:textId="77777777" w:rsidR="005C1755" w:rsidRDefault="005C1755" w:rsidP="005C1755"/>
    <w:p w14:paraId="4C4B86D8" w14:textId="77777777" w:rsidR="005C1755" w:rsidRDefault="005C1755" w:rsidP="005C1755">
      <w:r w:rsidRPr="005C1755">
        <w:rPr>
          <w:b/>
        </w:rPr>
        <w:t>Drugs</w:t>
      </w:r>
      <w:r>
        <w:t xml:space="preserve">.  Medications commonly implicated in causing fatty liver include corticosteroids, antidepressant and antipsychotic medications and, most commonly, tamoxifen.  In many instances, it is unclear whether the fatty liver disease is a direct result of the medication on the liver or a consequence of weight gain triggered by the medication (as occurs with many antidepressant or antipsychotic medications).  Amiodarone and methotrexate are also capable of causing fatty liver disease and hepatic injury that resembles alcoholic hepatitis with fat, lobular disarray, inflammation, Mallory bodies and fibrosis. With these two agents, however, the inflammation and fibrosis generally overshadows the degree of steatosis.  Both of these agents can cause fibrosis and cirrhosis. </w:t>
      </w:r>
    </w:p>
    <w:p w14:paraId="0880EFE7" w14:textId="77777777" w:rsidR="005C1755" w:rsidRDefault="005C1755" w:rsidP="005C1755">
      <w:r>
        <w:t xml:space="preserve"> </w:t>
      </w:r>
    </w:p>
    <w:p w14:paraId="558025D1" w14:textId="77777777" w:rsidR="005C1755" w:rsidRDefault="005C1755" w:rsidP="005C1755"/>
    <w:p w14:paraId="3037A5E8" w14:textId="77777777" w:rsidR="005C1755" w:rsidRDefault="005C1755" w:rsidP="005C1755">
      <w:r w:rsidRPr="005C1755">
        <w:rPr>
          <w:b/>
        </w:rPr>
        <w:t>Differential Diagnosis</w:t>
      </w:r>
      <w:r>
        <w:t>.  The finding of serum enzyme elevations with fat on liver biopsy or imaging suggests nonalcoholic fatty liver, and the role of medications should be suspect if an agent associated with fatty liver is being taken.</w:t>
      </w:r>
    </w:p>
    <w:p w14:paraId="61E48D18" w14:textId="77777777" w:rsidR="005C1755" w:rsidRDefault="005C1755" w:rsidP="005C1755">
      <w:r>
        <w:t xml:space="preserve"> </w:t>
      </w:r>
    </w:p>
    <w:p w14:paraId="1805CD6E" w14:textId="77777777" w:rsidR="005C1755" w:rsidRDefault="005C1755" w:rsidP="005C1755"/>
    <w:p w14:paraId="31A6A42B" w14:textId="77777777" w:rsidR="005C1755" w:rsidRDefault="005C1755" w:rsidP="005C1755">
      <w:r w:rsidRPr="005C1755">
        <w:rPr>
          <w:b/>
        </w:rPr>
        <w:t>Definition</w:t>
      </w:r>
      <w:r>
        <w:t>.  The diagnosis of NAFLD requires the finding of serum enzyme elevations and fat in the liver as shown by imaging tests or liver biopsy:</w:t>
      </w:r>
    </w:p>
    <w:p w14:paraId="60F4C9BB" w14:textId="77777777" w:rsidR="005C1755" w:rsidRDefault="005C1755" w:rsidP="001656DD">
      <w:pPr>
        <w:pStyle w:val="ListParagraph"/>
        <w:numPr>
          <w:ilvl w:val="0"/>
          <w:numId w:val="11"/>
        </w:numPr>
      </w:pPr>
      <w:r>
        <w:t>Hepatocellular pattern of serum enzyme elevations (R value &gt;5) with minimal alkaline phosphatase elevations</w:t>
      </w:r>
    </w:p>
    <w:p w14:paraId="29EBE90C" w14:textId="77777777" w:rsidR="005C1755" w:rsidRDefault="005C1755" w:rsidP="001656DD">
      <w:pPr>
        <w:pStyle w:val="ListParagraph"/>
        <w:numPr>
          <w:ilvl w:val="0"/>
          <w:numId w:val="11"/>
        </w:numPr>
      </w:pPr>
      <w:r>
        <w:t>Latency of 3 to 12 months after starting the medication</w:t>
      </w:r>
    </w:p>
    <w:p w14:paraId="5A582A3B" w14:textId="77777777" w:rsidR="005C1755" w:rsidRDefault="005C1755" w:rsidP="001656DD">
      <w:pPr>
        <w:pStyle w:val="ListParagraph"/>
        <w:numPr>
          <w:ilvl w:val="0"/>
          <w:numId w:val="11"/>
        </w:numPr>
      </w:pPr>
      <w:r>
        <w:t>Nonspecific symptoms (if present) of nausea, fatigue, or abdominal pain</w:t>
      </w:r>
    </w:p>
    <w:p w14:paraId="0358EE1B" w14:textId="77777777" w:rsidR="005C1755" w:rsidRDefault="005C1755" w:rsidP="001656DD">
      <w:pPr>
        <w:pStyle w:val="ListParagraph"/>
        <w:numPr>
          <w:ilvl w:val="0"/>
          <w:numId w:val="11"/>
        </w:numPr>
      </w:pPr>
      <w:r>
        <w:t>Fat in the liver as shown by ultrasound, computerized tomography or magnetic resonance imaging</w:t>
      </w:r>
    </w:p>
    <w:p w14:paraId="05B33F07" w14:textId="77777777" w:rsidR="005C1755" w:rsidRDefault="005C1755" w:rsidP="001656DD">
      <w:pPr>
        <w:pStyle w:val="ListParagraph"/>
        <w:numPr>
          <w:ilvl w:val="0"/>
          <w:numId w:val="11"/>
        </w:numPr>
      </w:pPr>
      <w:r>
        <w:t>If liver biopsy is obtained, changes of steatosis, inflammation and ballooning degeneration</w:t>
      </w:r>
    </w:p>
    <w:p w14:paraId="4885B261" w14:textId="77777777" w:rsidR="005C1755" w:rsidRDefault="005C1755" w:rsidP="001656DD">
      <w:pPr>
        <w:pStyle w:val="ListParagraph"/>
        <w:numPr>
          <w:ilvl w:val="0"/>
          <w:numId w:val="11"/>
        </w:numPr>
      </w:pPr>
      <w:r>
        <w:t>Resolution or lessening of evidence of liver injury and fatty liver with stopping the medication.</w:t>
      </w:r>
    </w:p>
    <w:p w14:paraId="4C190DFA" w14:textId="77777777" w:rsidR="005C1755" w:rsidRDefault="005C1755" w:rsidP="005C1755">
      <w:r>
        <w:t xml:space="preserve">Because nonalcoholic fatty liver is so frequent in the general population, the finding of serum enzyme elevations and fat in the liver by imaging tests is not uncommon, particularly in patients who are overweight or have hyperlipidemia or diabetes - patients who are also likely to be taking medications.  Thus, the diagnosis of drug induced NAFLD is challenging, and should rest upon the de novo appearance of liver enzyme elevations or hepatic fat in a patient known to be free of these findings before starting the drug; or, alternatively, the resolution of these </w:t>
      </w:r>
      <w:r>
        <w:lastRenderedPageBreak/>
        <w:t>findings with stopping the medication.  Some cases of drug induced NAFLD actually represent an underlying propensity to this metabolic liver disease in a patient on a medication that causes weight gain or disturbances in lipid or glucose metabolism.  The most clearly defined cause of drug induced NAFLD is tamoxifen which is typically given long term (up to five years) in postmenopausal women, many of whom may already have risk factors for NAFLD, such as obesity, diabetes or hyperlipidemia.  The presence of steatosis and ballooning degeneration, inflammation and variable degrees of fibrosis is generally referred to as nonaclcoholic steatohepatitis (NASH) and is considered a more severe part of the spectrum of NAFLD, being potentially progressive and leading to advanced fibrosis or cirrhosis.  Amiodarone and methotrexate are two other agents that can cause NAFLD and NASH and often present at a more advanced stage accompanied by inflammation and fibrosis.</w:t>
      </w:r>
    </w:p>
    <w:p w14:paraId="783A0862" w14:textId="77777777" w:rsidR="005C1755" w:rsidRDefault="005C1755" w:rsidP="005C1755">
      <w:r>
        <w:t xml:space="preserve"> </w:t>
      </w:r>
    </w:p>
    <w:p w14:paraId="65608C43" w14:textId="5F9DC8BF" w:rsidR="005C1755" w:rsidRDefault="005C1755" w:rsidP="005C1755">
      <w:pPr>
        <w:pStyle w:val="Heading2"/>
      </w:pPr>
      <w:r w:rsidRPr="005C1755">
        <w:t>Representative Cases</w:t>
      </w:r>
    </w:p>
    <w:p w14:paraId="43F1DF80" w14:textId="77777777" w:rsidR="005C1755" w:rsidRDefault="005C1755" w:rsidP="005C1755">
      <w:pPr>
        <w:pStyle w:val="Heading3"/>
      </w:pPr>
      <w:r>
        <w:t>Case 1.  Nonalcoholic steatohepatitis induced by tamoxifen.</w:t>
      </w:r>
    </w:p>
    <w:p w14:paraId="31180053" w14:textId="77777777" w:rsidR="005C1755" w:rsidRDefault="005C1755" w:rsidP="005C1755">
      <w:r>
        <w:t>[DILIN Case #105-3016]</w:t>
      </w:r>
    </w:p>
    <w:p w14:paraId="00D14D4B" w14:textId="77777777" w:rsidR="005C1755" w:rsidRDefault="005C1755" w:rsidP="005C1755">
      <w:r>
        <w:t xml:space="preserve"> </w:t>
      </w:r>
    </w:p>
    <w:p w14:paraId="788EE140" w14:textId="77777777" w:rsidR="005C1755" w:rsidRDefault="005C1755" w:rsidP="005C1755"/>
    <w:p w14:paraId="1C645E7F" w14:textId="77777777" w:rsidR="005C1755" w:rsidRDefault="005C1755" w:rsidP="005C1755">
      <w:r>
        <w:t>A 37 year old woman was found to have abnormal serum enzymes during long term tamoxifen therapy.  Two years previously, she had been found to have bilateral breast cancers and underwent bilateral mastectomies followed by reconstructive breast surgery.  The breast cancer tissue was human estrogen receptor negative.  She was started on long term tamoxifen (20 mg daily) and goserelin (3.6 mg implant monthly) therapy.  Before starting therapy, her serum enzymes were normal (Table), but one year later they were found to be elevated.  She had no symptoms of liver disease and specifically denied fatigue, nausea and abdominal pain.  She had no history of liver disease and denied alcohol use.  She had no risk factors for viral hepatitis and was not taking other medications.  Physical examination showed no fever, rash, abdominal tenderness or enlargement of liver or spleen.  She was mildly overweight (body mass index 28.5), but had not gained weight in the previous year.  Laboratory results showed moderate elevations in serum aminotransferase levels (ALT 150 U/L, AST 138 U/L), with normal alkaline phosphatase, bilirubin (0.3 mg/dL), albumin (4.5 g/dL) and prothrombin time (INR 1.1).  Fasting blood glucose and lipids were normal.  Tests for hepatitis A, B and C were negative as were autoantibodies.  Serum ceruloplasmin was normal (34.4 mg/dL).  Ultrasound of the abdomen suggested fatty liver.  A liver biopsy showed severe macrovesicular steatosis with lobular hepatitis, and mild pericellular fibrosis without Mallory bodies, compatible with steatohepatitis.  The combination of ursodeoxycholic acid, vitamin C and vitamin E were started and tamoxifen continued.  Serum enzymes remained elevated and six months later began to rise reaching a peak of an ALT 770 U/L, AST 810 U/L, despite minimal or no rise in alkaline phosphatase and bilirubin levels.  At this point, the patient began to complain of fatigue, nausea, vague abdominal discomfort, dark urine and itching.  Tamoxifen and goserelin were discontinued.  A repeat liver biopsy showed less steatosis, but increased lobular inflammation, ballooning degeneration and fibrosis with multiple Mallory bodies.  Over the next several months, serum aminotransferases decreased minimally.</w:t>
      </w:r>
    </w:p>
    <w:p w14:paraId="5189F219" w14:textId="77777777" w:rsidR="005C1755" w:rsidRDefault="005C1755" w:rsidP="005C1755">
      <w:r>
        <w:t xml:space="preserve"> </w:t>
      </w:r>
    </w:p>
    <w:p w14:paraId="34197942" w14:textId="77777777" w:rsidR="005C1755" w:rsidRDefault="005C1755" w:rsidP="005C1755"/>
    <w:p w14:paraId="504D9A17" w14:textId="77777777" w:rsidR="005C1755" w:rsidRDefault="005C1755" w:rsidP="005C1755">
      <w:pPr>
        <w:pStyle w:val="Heading4"/>
      </w:pPr>
      <w:r>
        <w:t>Key Points</w:t>
      </w:r>
    </w:p>
    <w:tbl>
      <w:tblPr>
        <w:tblStyle w:val="TableGrid"/>
        <w:tblW w:w="0" w:type="auto"/>
        <w:tblLook w:val="04A0" w:firstRow="1" w:lastRow="0" w:firstColumn="1" w:lastColumn="0" w:noHBand="0" w:noVBand="1"/>
      </w:tblPr>
      <w:tblGrid>
        <w:gridCol w:w="5035"/>
        <w:gridCol w:w="5035"/>
      </w:tblGrid>
      <w:tr w:rsidR="005C1755" w:rsidRPr="005C1755" w14:paraId="0730B640" w14:textId="77777777" w:rsidTr="005C1755">
        <w:tc>
          <w:tcPr>
            <w:tcW w:w="5035" w:type="dxa"/>
          </w:tcPr>
          <w:p w14:paraId="003D5A73" w14:textId="77777777" w:rsidR="005C1755" w:rsidRPr="005C1755" w:rsidRDefault="005C1755" w:rsidP="00054667">
            <w:pPr>
              <w:pStyle w:val="Tablerowhead"/>
            </w:pPr>
            <w:r w:rsidRPr="005C1755">
              <w:t>Medication:</w:t>
            </w:r>
          </w:p>
        </w:tc>
        <w:tc>
          <w:tcPr>
            <w:tcW w:w="5035" w:type="dxa"/>
          </w:tcPr>
          <w:p w14:paraId="4CC39B7C" w14:textId="77777777" w:rsidR="005C1755" w:rsidRPr="005C1755" w:rsidRDefault="005C1755" w:rsidP="005C1755">
            <w:pPr>
              <w:pStyle w:val="Tablebody"/>
            </w:pPr>
            <w:r w:rsidRPr="005C1755">
              <w:t>Tamoxifen (20 mg daily)</w:t>
            </w:r>
          </w:p>
        </w:tc>
      </w:tr>
      <w:tr w:rsidR="005C1755" w:rsidRPr="005C1755" w14:paraId="18FABF70" w14:textId="77777777" w:rsidTr="005C1755">
        <w:tc>
          <w:tcPr>
            <w:tcW w:w="5035" w:type="dxa"/>
          </w:tcPr>
          <w:p w14:paraId="72CC5AB6" w14:textId="77777777" w:rsidR="005C1755" w:rsidRPr="005C1755" w:rsidRDefault="005C1755" w:rsidP="00054667">
            <w:pPr>
              <w:pStyle w:val="Tablerowhead"/>
            </w:pPr>
            <w:r w:rsidRPr="005C1755">
              <w:t>Pattern:</w:t>
            </w:r>
          </w:p>
        </w:tc>
        <w:tc>
          <w:tcPr>
            <w:tcW w:w="5035" w:type="dxa"/>
          </w:tcPr>
          <w:p w14:paraId="24C0F16E" w14:textId="77777777" w:rsidR="005C1755" w:rsidRPr="005C1755" w:rsidRDefault="005C1755" w:rsidP="005C1755">
            <w:pPr>
              <w:pStyle w:val="Tablebody"/>
            </w:pPr>
            <w:r w:rsidRPr="005C1755">
              <w:t>Hepatocellular (R=15)</w:t>
            </w:r>
          </w:p>
        </w:tc>
      </w:tr>
      <w:tr w:rsidR="005C1755" w:rsidRPr="005C1755" w14:paraId="4A86F1E6" w14:textId="77777777" w:rsidTr="005C1755">
        <w:tc>
          <w:tcPr>
            <w:tcW w:w="5035" w:type="dxa"/>
          </w:tcPr>
          <w:p w14:paraId="668EE12F" w14:textId="77777777" w:rsidR="005C1755" w:rsidRPr="005C1755" w:rsidRDefault="005C1755" w:rsidP="00054667">
            <w:pPr>
              <w:pStyle w:val="Tablerowhead"/>
            </w:pPr>
            <w:r w:rsidRPr="005C1755">
              <w:t>Severity:</w:t>
            </w:r>
          </w:p>
        </w:tc>
        <w:tc>
          <w:tcPr>
            <w:tcW w:w="5035" w:type="dxa"/>
          </w:tcPr>
          <w:p w14:paraId="1261BC71" w14:textId="77777777" w:rsidR="005C1755" w:rsidRPr="005C1755" w:rsidRDefault="005C1755" w:rsidP="005C1755">
            <w:pPr>
              <w:pStyle w:val="Tablebody"/>
            </w:pPr>
            <w:r w:rsidRPr="005C1755">
              <w:t>1+ (serum enzyme elevations only with symptoms)</w:t>
            </w:r>
          </w:p>
        </w:tc>
      </w:tr>
      <w:tr w:rsidR="005C1755" w:rsidRPr="005C1755" w14:paraId="36D8755D" w14:textId="77777777" w:rsidTr="005C1755">
        <w:tc>
          <w:tcPr>
            <w:tcW w:w="5035" w:type="dxa"/>
          </w:tcPr>
          <w:p w14:paraId="35FADCE5" w14:textId="77777777" w:rsidR="005C1755" w:rsidRPr="005C1755" w:rsidRDefault="005C1755" w:rsidP="00054667">
            <w:pPr>
              <w:pStyle w:val="Tablerowhead"/>
            </w:pPr>
            <w:r w:rsidRPr="005C1755">
              <w:t>Latency:</w:t>
            </w:r>
          </w:p>
        </w:tc>
        <w:tc>
          <w:tcPr>
            <w:tcW w:w="5035" w:type="dxa"/>
          </w:tcPr>
          <w:p w14:paraId="73F91CF2" w14:textId="77777777" w:rsidR="005C1755" w:rsidRPr="005C1755" w:rsidRDefault="005C1755" w:rsidP="005C1755">
            <w:pPr>
              <w:pStyle w:val="Tablebody"/>
            </w:pPr>
            <w:r w:rsidRPr="005C1755">
              <w:t>2 years</w:t>
            </w:r>
          </w:p>
        </w:tc>
      </w:tr>
      <w:tr w:rsidR="005C1755" w:rsidRPr="005C1755" w14:paraId="25DD3446" w14:textId="77777777" w:rsidTr="005C1755">
        <w:tc>
          <w:tcPr>
            <w:tcW w:w="5035" w:type="dxa"/>
          </w:tcPr>
          <w:p w14:paraId="291B3798" w14:textId="77777777" w:rsidR="005C1755" w:rsidRPr="005C1755" w:rsidRDefault="005C1755" w:rsidP="00054667">
            <w:pPr>
              <w:pStyle w:val="Tablerowhead"/>
            </w:pPr>
            <w:r w:rsidRPr="005C1755">
              <w:t>Recovery:</w:t>
            </w:r>
          </w:p>
        </w:tc>
        <w:tc>
          <w:tcPr>
            <w:tcW w:w="5035" w:type="dxa"/>
          </w:tcPr>
          <w:p w14:paraId="14308EA6" w14:textId="77777777" w:rsidR="005C1755" w:rsidRPr="005C1755" w:rsidRDefault="005C1755" w:rsidP="005C1755">
            <w:pPr>
              <w:pStyle w:val="Tablebody"/>
            </w:pPr>
            <w:r w:rsidRPr="005C1755">
              <w:t>Incomplete after 2 months</w:t>
            </w:r>
          </w:p>
        </w:tc>
      </w:tr>
      <w:tr w:rsidR="005C1755" w:rsidRPr="005C1755" w14:paraId="79B728E4" w14:textId="77777777" w:rsidTr="005C1755">
        <w:tc>
          <w:tcPr>
            <w:tcW w:w="5035" w:type="dxa"/>
          </w:tcPr>
          <w:p w14:paraId="322B1D39" w14:textId="77777777" w:rsidR="005C1755" w:rsidRPr="005C1755" w:rsidRDefault="005C1755" w:rsidP="00054667">
            <w:pPr>
              <w:pStyle w:val="Tablerowhead"/>
            </w:pPr>
            <w:r w:rsidRPr="005C1755">
              <w:t>Other medications:</w:t>
            </w:r>
          </w:p>
        </w:tc>
        <w:tc>
          <w:tcPr>
            <w:tcW w:w="5035" w:type="dxa"/>
          </w:tcPr>
          <w:p w14:paraId="3B0CEB99" w14:textId="77777777" w:rsidR="005C1755" w:rsidRPr="005C1755" w:rsidRDefault="005C1755" w:rsidP="005C1755">
            <w:pPr>
              <w:pStyle w:val="Tablebody"/>
            </w:pPr>
            <w:r w:rsidRPr="005C1755">
              <w:t>Goserelin</w:t>
            </w:r>
          </w:p>
        </w:tc>
      </w:tr>
    </w:tbl>
    <w:p w14:paraId="09C96EEE" w14:textId="77777777" w:rsidR="005C1755" w:rsidRDefault="005C1755" w:rsidP="005C1755">
      <w:pPr>
        <w:pStyle w:val="Heading4"/>
      </w:pPr>
      <w:r>
        <w:t>Laboratory Values</w:t>
      </w:r>
    </w:p>
    <w:tbl>
      <w:tblPr>
        <w:tblStyle w:val="TableGrid"/>
        <w:tblW w:w="0" w:type="auto"/>
        <w:tblLook w:val="04A0" w:firstRow="1" w:lastRow="0" w:firstColumn="1" w:lastColumn="0" w:noHBand="0" w:noVBand="1"/>
      </w:tblPr>
      <w:tblGrid>
        <w:gridCol w:w="1438"/>
        <w:gridCol w:w="1438"/>
        <w:gridCol w:w="1438"/>
        <w:gridCol w:w="1439"/>
        <w:gridCol w:w="1439"/>
        <w:gridCol w:w="1439"/>
      </w:tblGrid>
      <w:tr w:rsidR="005C1755" w:rsidRPr="005C1755" w14:paraId="23C5C7D9" w14:textId="77777777" w:rsidTr="005C1755">
        <w:tc>
          <w:tcPr>
            <w:tcW w:w="1438" w:type="dxa"/>
          </w:tcPr>
          <w:p w14:paraId="166F9DBF" w14:textId="77777777" w:rsidR="005C1755" w:rsidRPr="005C1755" w:rsidRDefault="005C1755" w:rsidP="005C1755">
            <w:pPr>
              <w:pStyle w:val="Tableheader"/>
              <w:jc w:val="center"/>
            </w:pPr>
            <w:r w:rsidRPr="005C1755">
              <w:t>Time After Starting</w:t>
            </w:r>
          </w:p>
        </w:tc>
        <w:tc>
          <w:tcPr>
            <w:tcW w:w="1438" w:type="dxa"/>
          </w:tcPr>
          <w:p w14:paraId="5303623B" w14:textId="77777777" w:rsidR="005C1755" w:rsidRPr="005C1755" w:rsidRDefault="005C1755" w:rsidP="005C1755">
            <w:pPr>
              <w:pStyle w:val="Tableheader"/>
              <w:jc w:val="center"/>
            </w:pPr>
            <w:r w:rsidRPr="005C1755">
              <w:t>Time After Stopping</w:t>
            </w:r>
          </w:p>
        </w:tc>
        <w:tc>
          <w:tcPr>
            <w:tcW w:w="1438" w:type="dxa"/>
          </w:tcPr>
          <w:p w14:paraId="43DC53F7" w14:textId="04AFBAFE" w:rsidR="005C1755" w:rsidRPr="005C1755" w:rsidRDefault="005C1755" w:rsidP="005C1755">
            <w:pPr>
              <w:pStyle w:val="Tableheader"/>
              <w:jc w:val="center"/>
            </w:pPr>
            <w:r w:rsidRPr="005C1755">
              <w:t>ALT (U/L)</w:t>
            </w:r>
          </w:p>
        </w:tc>
        <w:tc>
          <w:tcPr>
            <w:tcW w:w="1439" w:type="dxa"/>
          </w:tcPr>
          <w:p w14:paraId="768DFF19" w14:textId="64A54ACF" w:rsidR="005C1755" w:rsidRPr="005C1755" w:rsidRDefault="005C1755" w:rsidP="005C1755">
            <w:pPr>
              <w:pStyle w:val="Tableheader"/>
              <w:jc w:val="center"/>
            </w:pPr>
            <w:r w:rsidRPr="005C1755">
              <w:t>Alk P (U/L)</w:t>
            </w:r>
          </w:p>
        </w:tc>
        <w:tc>
          <w:tcPr>
            <w:tcW w:w="1439" w:type="dxa"/>
          </w:tcPr>
          <w:p w14:paraId="78D5FEDA" w14:textId="77777777" w:rsidR="005C1755" w:rsidRDefault="005C1755" w:rsidP="005C1755">
            <w:pPr>
              <w:pStyle w:val="Tableheader"/>
              <w:jc w:val="center"/>
            </w:pPr>
            <w:r w:rsidRPr="005C1755">
              <w:t>Bilirubin</w:t>
            </w:r>
          </w:p>
          <w:p w14:paraId="158FBB91" w14:textId="70DBFEA9" w:rsidR="005C1755" w:rsidRPr="005C1755" w:rsidRDefault="005C1755" w:rsidP="005C1755">
            <w:pPr>
              <w:pStyle w:val="Tableheader"/>
              <w:jc w:val="center"/>
            </w:pPr>
            <w:r w:rsidRPr="005C1755">
              <w:t>(mg/dL)</w:t>
            </w:r>
          </w:p>
        </w:tc>
        <w:tc>
          <w:tcPr>
            <w:tcW w:w="1439" w:type="dxa"/>
          </w:tcPr>
          <w:p w14:paraId="461B6385" w14:textId="77777777" w:rsidR="005C1755" w:rsidRPr="005C1755" w:rsidRDefault="005C1755" w:rsidP="005C1755">
            <w:pPr>
              <w:pStyle w:val="Tableheader"/>
              <w:jc w:val="center"/>
            </w:pPr>
            <w:r w:rsidRPr="005C1755">
              <w:t>Other</w:t>
            </w:r>
          </w:p>
        </w:tc>
      </w:tr>
      <w:tr w:rsidR="005C1755" w:rsidRPr="005C1755" w14:paraId="66182008" w14:textId="77777777" w:rsidTr="005C1755">
        <w:tc>
          <w:tcPr>
            <w:tcW w:w="1438" w:type="dxa"/>
          </w:tcPr>
          <w:p w14:paraId="7590A433" w14:textId="77777777" w:rsidR="005C1755" w:rsidRPr="005C1755" w:rsidRDefault="005C1755" w:rsidP="005C1755">
            <w:pPr>
              <w:pStyle w:val="Tablebody"/>
              <w:jc w:val="center"/>
            </w:pPr>
            <w:r w:rsidRPr="005C1755">
              <w:t>Pre</w:t>
            </w:r>
          </w:p>
        </w:tc>
        <w:tc>
          <w:tcPr>
            <w:tcW w:w="1438" w:type="dxa"/>
          </w:tcPr>
          <w:p w14:paraId="48F82699" w14:textId="77777777" w:rsidR="005C1755" w:rsidRPr="005C1755" w:rsidRDefault="005C1755" w:rsidP="005C1755">
            <w:pPr>
              <w:pStyle w:val="Tablebody"/>
              <w:jc w:val="center"/>
            </w:pPr>
            <w:r w:rsidRPr="005C1755">
              <w:t>Pre</w:t>
            </w:r>
          </w:p>
        </w:tc>
        <w:tc>
          <w:tcPr>
            <w:tcW w:w="1438" w:type="dxa"/>
          </w:tcPr>
          <w:p w14:paraId="72ED8EF9" w14:textId="77777777" w:rsidR="005C1755" w:rsidRPr="005C1755" w:rsidRDefault="005C1755" w:rsidP="005C1755">
            <w:pPr>
              <w:pStyle w:val="Tablebody"/>
              <w:jc w:val="center"/>
            </w:pPr>
            <w:r w:rsidRPr="005C1755">
              <w:t>24</w:t>
            </w:r>
          </w:p>
        </w:tc>
        <w:tc>
          <w:tcPr>
            <w:tcW w:w="1439" w:type="dxa"/>
          </w:tcPr>
          <w:p w14:paraId="1E92ED08" w14:textId="77777777" w:rsidR="005C1755" w:rsidRPr="005C1755" w:rsidRDefault="005C1755" w:rsidP="005C1755">
            <w:pPr>
              <w:pStyle w:val="Tablebody"/>
              <w:jc w:val="center"/>
            </w:pPr>
            <w:r w:rsidRPr="005C1755">
              <w:t>55</w:t>
            </w:r>
          </w:p>
        </w:tc>
        <w:tc>
          <w:tcPr>
            <w:tcW w:w="1439" w:type="dxa"/>
          </w:tcPr>
          <w:p w14:paraId="4DEE9545" w14:textId="69373171" w:rsidR="005C1755" w:rsidRPr="005C1755" w:rsidRDefault="005C1755" w:rsidP="005C1755">
            <w:pPr>
              <w:pStyle w:val="Tablebody"/>
              <w:jc w:val="center"/>
            </w:pPr>
            <w:r w:rsidRPr="005C1755">
              <w:t>0.7</w:t>
            </w:r>
          </w:p>
        </w:tc>
        <w:tc>
          <w:tcPr>
            <w:tcW w:w="1439" w:type="dxa"/>
          </w:tcPr>
          <w:p w14:paraId="54E16623" w14:textId="594D6578" w:rsidR="005C1755" w:rsidRPr="005C1755" w:rsidRDefault="005C1755" w:rsidP="005C1755">
            <w:pPr>
              <w:pStyle w:val="Tablebody"/>
              <w:jc w:val="center"/>
            </w:pPr>
            <w:r w:rsidRPr="005C1755">
              <w:t>1 month before surgery</w:t>
            </w:r>
          </w:p>
        </w:tc>
      </w:tr>
      <w:tr w:rsidR="005C1755" w:rsidRPr="005C1755" w14:paraId="13FFB7C1" w14:textId="77777777" w:rsidTr="005C1755">
        <w:tc>
          <w:tcPr>
            <w:tcW w:w="1438" w:type="dxa"/>
          </w:tcPr>
          <w:p w14:paraId="4691D282" w14:textId="77777777" w:rsidR="005C1755" w:rsidRPr="005C1755" w:rsidRDefault="005C1755" w:rsidP="005C1755">
            <w:pPr>
              <w:pStyle w:val="Tablebody"/>
              <w:jc w:val="center"/>
            </w:pPr>
            <w:r w:rsidRPr="005C1755">
              <w:t>18 months</w:t>
            </w:r>
          </w:p>
        </w:tc>
        <w:tc>
          <w:tcPr>
            <w:tcW w:w="1438" w:type="dxa"/>
          </w:tcPr>
          <w:p w14:paraId="6345ABE0" w14:textId="77777777" w:rsidR="005C1755" w:rsidRPr="005C1755" w:rsidRDefault="005C1755" w:rsidP="005C1755">
            <w:pPr>
              <w:pStyle w:val="Tablebody"/>
              <w:jc w:val="center"/>
            </w:pPr>
          </w:p>
        </w:tc>
        <w:tc>
          <w:tcPr>
            <w:tcW w:w="1438" w:type="dxa"/>
          </w:tcPr>
          <w:p w14:paraId="02DFAABD" w14:textId="77777777" w:rsidR="005C1755" w:rsidRPr="005C1755" w:rsidRDefault="005C1755" w:rsidP="005C1755">
            <w:pPr>
              <w:pStyle w:val="Tablebody"/>
              <w:jc w:val="center"/>
            </w:pPr>
            <w:r w:rsidRPr="005C1755">
              <w:t>150</w:t>
            </w:r>
          </w:p>
        </w:tc>
        <w:tc>
          <w:tcPr>
            <w:tcW w:w="1439" w:type="dxa"/>
          </w:tcPr>
          <w:p w14:paraId="59A5B986" w14:textId="77777777" w:rsidR="005C1755" w:rsidRPr="005C1755" w:rsidRDefault="005C1755" w:rsidP="005C1755">
            <w:pPr>
              <w:pStyle w:val="Tablebody"/>
              <w:jc w:val="center"/>
            </w:pPr>
            <w:r w:rsidRPr="005C1755">
              <w:t>65</w:t>
            </w:r>
          </w:p>
        </w:tc>
        <w:tc>
          <w:tcPr>
            <w:tcW w:w="1439" w:type="dxa"/>
          </w:tcPr>
          <w:p w14:paraId="1F3AF5AE" w14:textId="0570B9B6" w:rsidR="005C1755" w:rsidRPr="005C1755" w:rsidRDefault="005C1755" w:rsidP="005C1755">
            <w:pPr>
              <w:pStyle w:val="Tablebody"/>
              <w:jc w:val="center"/>
            </w:pPr>
            <w:r w:rsidRPr="005C1755">
              <w:t>0.2</w:t>
            </w:r>
          </w:p>
        </w:tc>
        <w:tc>
          <w:tcPr>
            <w:tcW w:w="1439" w:type="dxa"/>
          </w:tcPr>
          <w:p w14:paraId="33EFDD0B" w14:textId="77777777" w:rsidR="005C1755" w:rsidRPr="005C1755" w:rsidRDefault="005C1755" w:rsidP="005C1755">
            <w:pPr>
              <w:pStyle w:val="Tablebody"/>
              <w:jc w:val="center"/>
            </w:pPr>
          </w:p>
        </w:tc>
      </w:tr>
      <w:tr w:rsidR="005C1755" w:rsidRPr="005C1755" w14:paraId="5D05F91B" w14:textId="77777777" w:rsidTr="005C1755">
        <w:tc>
          <w:tcPr>
            <w:tcW w:w="1438" w:type="dxa"/>
          </w:tcPr>
          <w:p w14:paraId="543928E6" w14:textId="77777777" w:rsidR="005C1755" w:rsidRPr="005C1755" w:rsidRDefault="005C1755" w:rsidP="005C1755">
            <w:pPr>
              <w:pStyle w:val="Tablebody"/>
              <w:jc w:val="center"/>
            </w:pPr>
            <w:r w:rsidRPr="005C1755">
              <w:t>20 months</w:t>
            </w:r>
          </w:p>
        </w:tc>
        <w:tc>
          <w:tcPr>
            <w:tcW w:w="1438" w:type="dxa"/>
          </w:tcPr>
          <w:p w14:paraId="2FE2EBD4" w14:textId="77777777" w:rsidR="005C1755" w:rsidRPr="005C1755" w:rsidRDefault="005C1755" w:rsidP="005C1755">
            <w:pPr>
              <w:pStyle w:val="Tablebody"/>
              <w:jc w:val="center"/>
            </w:pPr>
          </w:p>
        </w:tc>
        <w:tc>
          <w:tcPr>
            <w:tcW w:w="1438" w:type="dxa"/>
          </w:tcPr>
          <w:p w14:paraId="2F7DE98D" w14:textId="77777777" w:rsidR="005C1755" w:rsidRPr="005C1755" w:rsidRDefault="005C1755" w:rsidP="005C1755">
            <w:pPr>
              <w:pStyle w:val="Tablebody"/>
              <w:jc w:val="center"/>
            </w:pPr>
            <w:r w:rsidRPr="005C1755">
              <w:t>189</w:t>
            </w:r>
          </w:p>
        </w:tc>
        <w:tc>
          <w:tcPr>
            <w:tcW w:w="1439" w:type="dxa"/>
          </w:tcPr>
          <w:p w14:paraId="0C758F48" w14:textId="77777777" w:rsidR="005C1755" w:rsidRPr="005C1755" w:rsidRDefault="005C1755" w:rsidP="005C1755">
            <w:pPr>
              <w:pStyle w:val="Tablebody"/>
              <w:jc w:val="center"/>
            </w:pPr>
            <w:r w:rsidRPr="005C1755">
              <w:t>75</w:t>
            </w:r>
          </w:p>
        </w:tc>
        <w:tc>
          <w:tcPr>
            <w:tcW w:w="1439" w:type="dxa"/>
          </w:tcPr>
          <w:p w14:paraId="33AE61EE" w14:textId="50911FAE" w:rsidR="005C1755" w:rsidRPr="005C1755" w:rsidRDefault="005C1755" w:rsidP="005C1755">
            <w:pPr>
              <w:pStyle w:val="Tablebody"/>
              <w:jc w:val="center"/>
            </w:pPr>
            <w:r w:rsidRPr="005C1755">
              <w:t>0.3</w:t>
            </w:r>
          </w:p>
        </w:tc>
        <w:tc>
          <w:tcPr>
            <w:tcW w:w="1439" w:type="dxa"/>
          </w:tcPr>
          <w:p w14:paraId="43EFAE7E" w14:textId="093A90C7" w:rsidR="005C1755" w:rsidRPr="005C1755" w:rsidRDefault="005C1755" w:rsidP="005C1755">
            <w:pPr>
              <w:pStyle w:val="Tablebody"/>
              <w:jc w:val="center"/>
            </w:pPr>
            <w:r w:rsidRPr="005C1755">
              <w:t>Liver biopsy</w:t>
            </w:r>
          </w:p>
        </w:tc>
      </w:tr>
      <w:tr w:rsidR="005C1755" w:rsidRPr="005C1755" w14:paraId="7982F3F1" w14:textId="77777777" w:rsidTr="005C1755">
        <w:tc>
          <w:tcPr>
            <w:tcW w:w="1438" w:type="dxa"/>
          </w:tcPr>
          <w:p w14:paraId="493258C6" w14:textId="77777777" w:rsidR="005C1755" w:rsidRPr="005C1755" w:rsidRDefault="005C1755" w:rsidP="005C1755">
            <w:pPr>
              <w:pStyle w:val="Tablebody"/>
              <w:jc w:val="center"/>
            </w:pPr>
            <w:r w:rsidRPr="005C1755">
              <w:t>21 months</w:t>
            </w:r>
          </w:p>
        </w:tc>
        <w:tc>
          <w:tcPr>
            <w:tcW w:w="1438" w:type="dxa"/>
          </w:tcPr>
          <w:p w14:paraId="2B848736" w14:textId="77777777" w:rsidR="005C1755" w:rsidRPr="005C1755" w:rsidRDefault="005C1755" w:rsidP="005C1755">
            <w:pPr>
              <w:pStyle w:val="Tablebody"/>
              <w:jc w:val="center"/>
            </w:pPr>
          </w:p>
        </w:tc>
        <w:tc>
          <w:tcPr>
            <w:tcW w:w="1438" w:type="dxa"/>
          </w:tcPr>
          <w:p w14:paraId="1643EFF2" w14:textId="77777777" w:rsidR="005C1755" w:rsidRPr="005C1755" w:rsidRDefault="005C1755" w:rsidP="005C1755">
            <w:pPr>
              <w:pStyle w:val="Tablebody"/>
              <w:jc w:val="center"/>
            </w:pPr>
            <w:r w:rsidRPr="005C1755">
              <w:t>143</w:t>
            </w:r>
          </w:p>
        </w:tc>
        <w:tc>
          <w:tcPr>
            <w:tcW w:w="1439" w:type="dxa"/>
          </w:tcPr>
          <w:p w14:paraId="4758DBC6" w14:textId="77777777" w:rsidR="005C1755" w:rsidRPr="005C1755" w:rsidRDefault="005C1755" w:rsidP="005C1755">
            <w:pPr>
              <w:pStyle w:val="Tablebody"/>
              <w:jc w:val="center"/>
            </w:pPr>
            <w:r w:rsidRPr="005C1755">
              <w:t>67</w:t>
            </w:r>
          </w:p>
        </w:tc>
        <w:tc>
          <w:tcPr>
            <w:tcW w:w="1439" w:type="dxa"/>
          </w:tcPr>
          <w:p w14:paraId="4C634006" w14:textId="6A7948A0" w:rsidR="005C1755" w:rsidRPr="005C1755" w:rsidRDefault="005C1755" w:rsidP="005C1755">
            <w:pPr>
              <w:pStyle w:val="Tablebody"/>
              <w:jc w:val="center"/>
            </w:pPr>
            <w:r w:rsidRPr="005C1755">
              <w:t>0.3</w:t>
            </w:r>
          </w:p>
        </w:tc>
        <w:tc>
          <w:tcPr>
            <w:tcW w:w="1439" w:type="dxa"/>
          </w:tcPr>
          <w:p w14:paraId="169BFE99" w14:textId="26D0D027" w:rsidR="005C1755" w:rsidRPr="005C1755" w:rsidRDefault="005C1755" w:rsidP="005C1755">
            <w:pPr>
              <w:pStyle w:val="Tablebody"/>
              <w:jc w:val="center"/>
            </w:pPr>
            <w:r w:rsidRPr="005C1755">
              <w:t>Vitamin E and ursodiol</w:t>
            </w:r>
          </w:p>
        </w:tc>
      </w:tr>
      <w:tr w:rsidR="005C1755" w:rsidRPr="005C1755" w14:paraId="461DA265" w14:textId="77777777" w:rsidTr="005C1755">
        <w:tc>
          <w:tcPr>
            <w:tcW w:w="1438" w:type="dxa"/>
          </w:tcPr>
          <w:p w14:paraId="2FD565E1" w14:textId="77777777" w:rsidR="005C1755" w:rsidRPr="005C1755" w:rsidRDefault="005C1755" w:rsidP="005C1755">
            <w:pPr>
              <w:pStyle w:val="Tablebody"/>
              <w:jc w:val="center"/>
            </w:pPr>
            <w:r w:rsidRPr="005C1755">
              <w:t>23 months</w:t>
            </w:r>
          </w:p>
        </w:tc>
        <w:tc>
          <w:tcPr>
            <w:tcW w:w="1438" w:type="dxa"/>
          </w:tcPr>
          <w:p w14:paraId="28B22FFF" w14:textId="77777777" w:rsidR="005C1755" w:rsidRPr="005C1755" w:rsidRDefault="005C1755" w:rsidP="005C1755">
            <w:pPr>
              <w:pStyle w:val="Tablebody"/>
              <w:jc w:val="center"/>
            </w:pPr>
          </w:p>
        </w:tc>
        <w:tc>
          <w:tcPr>
            <w:tcW w:w="1438" w:type="dxa"/>
          </w:tcPr>
          <w:p w14:paraId="56E81982" w14:textId="77777777" w:rsidR="005C1755" w:rsidRPr="005C1755" w:rsidRDefault="005C1755" w:rsidP="005C1755">
            <w:pPr>
              <w:pStyle w:val="Tablebody"/>
              <w:jc w:val="center"/>
            </w:pPr>
            <w:r w:rsidRPr="005C1755">
              <w:t>149</w:t>
            </w:r>
          </w:p>
        </w:tc>
        <w:tc>
          <w:tcPr>
            <w:tcW w:w="1439" w:type="dxa"/>
          </w:tcPr>
          <w:p w14:paraId="21278232" w14:textId="77777777" w:rsidR="005C1755" w:rsidRPr="005C1755" w:rsidRDefault="005C1755" w:rsidP="005C1755">
            <w:pPr>
              <w:pStyle w:val="Tablebody"/>
              <w:jc w:val="center"/>
            </w:pPr>
            <w:r w:rsidRPr="005C1755">
              <w:t>65</w:t>
            </w:r>
          </w:p>
        </w:tc>
        <w:tc>
          <w:tcPr>
            <w:tcW w:w="1439" w:type="dxa"/>
          </w:tcPr>
          <w:p w14:paraId="23559204" w14:textId="49E409FA" w:rsidR="005C1755" w:rsidRPr="005C1755" w:rsidRDefault="005C1755" w:rsidP="005C1755">
            <w:pPr>
              <w:pStyle w:val="Tablebody"/>
              <w:jc w:val="center"/>
            </w:pPr>
            <w:r w:rsidRPr="005C1755">
              <w:t>0.3</w:t>
            </w:r>
          </w:p>
        </w:tc>
        <w:tc>
          <w:tcPr>
            <w:tcW w:w="1439" w:type="dxa"/>
          </w:tcPr>
          <w:p w14:paraId="24CF773A" w14:textId="77777777" w:rsidR="005C1755" w:rsidRPr="005C1755" w:rsidRDefault="005C1755" w:rsidP="005C1755">
            <w:pPr>
              <w:pStyle w:val="Tablebody"/>
              <w:jc w:val="center"/>
            </w:pPr>
          </w:p>
        </w:tc>
      </w:tr>
      <w:tr w:rsidR="005C1755" w:rsidRPr="005C1755" w14:paraId="57269AB2" w14:textId="77777777" w:rsidTr="005C1755">
        <w:tc>
          <w:tcPr>
            <w:tcW w:w="1438" w:type="dxa"/>
          </w:tcPr>
          <w:p w14:paraId="79EBCA9D" w14:textId="77777777" w:rsidR="005C1755" w:rsidRPr="005C1755" w:rsidRDefault="005C1755" w:rsidP="005C1755">
            <w:pPr>
              <w:pStyle w:val="Tablebody"/>
              <w:jc w:val="center"/>
            </w:pPr>
            <w:r w:rsidRPr="005C1755">
              <w:t>26 months</w:t>
            </w:r>
          </w:p>
        </w:tc>
        <w:tc>
          <w:tcPr>
            <w:tcW w:w="1438" w:type="dxa"/>
          </w:tcPr>
          <w:p w14:paraId="65C8E5A4" w14:textId="77777777" w:rsidR="005C1755" w:rsidRPr="005C1755" w:rsidRDefault="005C1755" w:rsidP="005C1755">
            <w:pPr>
              <w:pStyle w:val="Tablebody"/>
              <w:jc w:val="center"/>
            </w:pPr>
          </w:p>
        </w:tc>
        <w:tc>
          <w:tcPr>
            <w:tcW w:w="1438" w:type="dxa"/>
          </w:tcPr>
          <w:p w14:paraId="671EA11D" w14:textId="77777777" w:rsidR="005C1755" w:rsidRPr="005C1755" w:rsidRDefault="005C1755" w:rsidP="005C1755">
            <w:pPr>
              <w:pStyle w:val="Tablebody"/>
              <w:jc w:val="center"/>
            </w:pPr>
            <w:r w:rsidRPr="005C1755">
              <w:t>292</w:t>
            </w:r>
          </w:p>
        </w:tc>
        <w:tc>
          <w:tcPr>
            <w:tcW w:w="1439" w:type="dxa"/>
          </w:tcPr>
          <w:p w14:paraId="1D17BBE4" w14:textId="77777777" w:rsidR="005C1755" w:rsidRPr="005C1755" w:rsidRDefault="005C1755" w:rsidP="005C1755">
            <w:pPr>
              <w:pStyle w:val="Tablebody"/>
              <w:jc w:val="center"/>
            </w:pPr>
            <w:r w:rsidRPr="005C1755">
              <w:t>64</w:t>
            </w:r>
          </w:p>
        </w:tc>
        <w:tc>
          <w:tcPr>
            <w:tcW w:w="1439" w:type="dxa"/>
          </w:tcPr>
          <w:p w14:paraId="527632FD" w14:textId="4C5F8C38" w:rsidR="005C1755" w:rsidRPr="005C1755" w:rsidRDefault="005C1755" w:rsidP="005C1755">
            <w:pPr>
              <w:pStyle w:val="Tablebody"/>
              <w:jc w:val="center"/>
            </w:pPr>
            <w:r w:rsidRPr="005C1755">
              <w:t>0.4</w:t>
            </w:r>
          </w:p>
        </w:tc>
        <w:tc>
          <w:tcPr>
            <w:tcW w:w="1439" w:type="dxa"/>
          </w:tcPr>
          <w:p w14:paraId="1B8EFA57" w14:textId="77777777" w:rsidR="005C1755" w:rsidRPr="005C1755" w:rsidRDefault="005C1755" w:rsidP="005C1755">
            <w:pPr>
              <w:pStyle w:val="Tablebody"/>
              <w:jc w:val="center"/>
            </w:pPr>
          </w:p>
        </w:tc>
      </w:tr>
      <w:tr w:rsidR="005C1755" w:rsidRPr="005C1755" w14:paraId="4F909B4B" w14:textId="77777777" w:rsidTr="005C1755">
        <w:tc>
          <w:tcPr>
            <w:tcW w:w="1438" w:type="dxa"/>
          </w:tcPr>
          <w:p w14:paraId="7F097640" w14:textId="77777777" w:rsidR="005C1755" w:rsidRPr="005C1755" w:rsidRDefault="005C1755" w:rsidP="005C1755">
            <w:pPr>
              <w:pStyle w:val="Tablebody"/>
              <w:jc w:val="center"/>
            </w:pPr>
            <w:r w:rsidRPr="005C1755">
              <w:t>29 months</w:t>
            </w:r>
          </w:p>
        </w:tc>
        <w:tc>
          <w:tcPr>
            <w:tcW w:w="1438" w:type="dxa"/>
          </w:tcPr>
          <w:p w14:paraId="290A826B" w14:textId="77777777" w:rsidR="005C1755" w:rsidRPr="005C1755" w:rsidRDefault="005C1755" w:rsidP="005C1755">
            <w:pPr>
              <w:pStyle w:val="Tablebody"/>
              <w:jc w:val="center"/>
            </w:pPr>
            <w:r w:rsidRPr="005C1755">
              <w:t>0</w:t>
            </w:r>
          </w:p>
        </w:tc>
        <w:tc>
          <w:tcPr>
            <w:tcW w:w="1438" w:type="dxa"/>
          </w:tcPr>
          <w:p w14:paraId="1339FE71" w14:textId="77777777" w:rsidR="005C1755" w:rsidRPr="005C1755" w:rsidRDefault="005C1755" w:rsidP="005C1755">
            <w:pPr>
              <w:pStyle w:val="Tablebody"/>
              <w:jc w:val="center"/>
            </w:pPr>
            <w:r w:rsidRPr="005C1755">
              <w:t>770</w:t>
            </w:r>
          </w:p>
        </w:tc>
        <w:tc>
          <w:tcPr>
            <w:tcW w:w="1439" w:type="dxa"/>
          </w:tcPr>
          <w:p w14:paraId="32E2F80A" w14:textId="77777777" w:rsidR="005C1755" w:rsidRPr="005C1755" w:rsidRDefault="005C1755" w:rsidP="005C1755">
            <w:pPr>
              <w:pStyle w:val="Tablebody"/>
              <w:jc w:val="center"/>
            </w:pPr>
            <w:r w:rsidRPr="005C1755">
              <w:t>112</w:t>
            </w:r>
          </w:p>
        </w:tc>
        <w:tc>
          <w:tcPr>
            <w:tcW w:w="1439" w:type="dxa"/>
          </w:tcPr>
          <w:p w14:paraId="1A51693D" w14:textId="0893165D" w:rsidR="005C1755" w:rsidRPr="005C1755" w:rsidRDefault="005C1755" w:rsidP="005C1755">
            <w:pPr>
              <w:pStyle w:val="Tablebody"/>
              <w:jc w:val="center"/>
            </w:pPr>
            <w:r w:rsidRPr="005C1755">
              <w:t>0.5</w:t>
            </w:r>
          </w:p>
        </w:tc>
        <w:tc>
          <w:tcPr>
            <w:tcW w:w="1439" w:type="dxa"/>
          </w:tcPr>
          <w:p w14:paraId="403F1836" w14:textId="33CE21F0" w:rsidR="005C1755" w:rsidRPr="005C1755" w:rsidRDefault="005C1755" w:rsidP="005C1755">
            <w:pPr>
              <w:pStyle w:val="Tablebody"/>
              <w:jc w:val="center"/>
            </w:pPr>
            <w:r w:rsidRPr="005C1755">
              <w:t>Tamoxifen stopped</w:t>
            </w:r>
          </w:p>
        </w:tc>
      </w:tr>
      <w:tr w:rsidR="005C1755" w:rsidRPr="005C1755" w14:paraId="1F176738" w14:textId="77777777" w:rsidTr="005C1755">
        <w:tc>
          <w:tcPr>
            <w:tcW w:w="1438" w:type="dxa"/>
          </w:tcPr>
          <w:p w14:paraId="79A2779D" w14:textId="77777777" w:rsidR="005C1755" w:rsidRPr="005C1755" w:rsidRDefault="005C1755" w:rsidP="005C1755">
            <w:pPr>
              <w:pStyle w:val="Tablebody"/>
              <w:jc w:val="center"/>
            </w:pPr>
            <w:r w:rsidRPr="005C1755">
              <w:t>30 months</w:t>
            </w:r>
          </w:p>
        </w:tc>
        <w:tc>
          <w:tcPr>
            <w:tcW w:w="1438" w:type="dxa"/>
          </w:tcPr>
          <w:p w14:paraId="68D3CD66" w14:textId="77777777" w:rsidR="005C1755" w:rsidRPr="005C1755" w:rsidRDefault="005C1755" w:rsidP="005C1755">
            <w:pPr>
              <w:pStyle w:val="Tablebody"/>
              <w:jc w:val="center"/>
            </w:pPr>
            <w:r w:rsidRPr="005C1755">
              <w:t>1 month</w:t>
            </w:r>
          </w:p>
        </w:tc>
        <w:tc>
          <w:tcPr>
            <w:tcW w:w="1438" w:type="dxa"/>
          </w:tcPr>
          <w:p w14:paraId="207BBC91" w14:textId="77777777" w:rsidR="005C1755" w:rsidRPr="005C1755" w:rsidRDefault="005C1755" w:rsidP="005C1755">
            <w:pPr>
              <w:pStyle w:val="Tablebody"/>
              <w:jc w:val="center"/>
            </w:pPr>
            <w:r w:rsidRPr="005C1755">
              <w:t>567</w:t>
            </w:r>
          </w:p>
        </w:tc>
        <w:tc>
          <w:tcPr>
            <w:tcW w:w="1439" w:type="dxa"/>
          </w:tcPr>
          <w:p w14:paraId="45FDB97A" w14:textId="77777777" w:rsidR="005C1755" w:rsidRPr="005C1755" w:rsidRDefault="005C1755" w:rsidP="005C1755">
            <w:pPr>
              <w:pStyle w:val="Tablebody"/>
              <w:jc w:val="center"/>
            </w:pPr>
            <w:r w:rsidRPr="005C1755">
              <w:t>103</w:t>
            </w:r>
          </w:p>
        </w:tc>
        <w:tc>
          <w:tcPr>
            <w:tcW w:w="1439" w:type="dxa"/>
          </w:tcPr>
          <w:p w14:paraId="6219C77A" w14:textId="0DCDB558" w:rsidR="005C1755" w:rsidRPr="005C1755" w:rsidRDefault="005C1755" w:rsidP="005C1755">
            <w:pPr>
              <w:pStyle w:val="Tablebody"/>
              <w:jc w:val="center"/>
            </w:pPr>
            <w:r w:rsidRPr="005C1755">
              <w:t>0.5</w:t>
            </w:r>
          </w:p>
        </w:tc>
        <w:tc>
          <w:tcPr>
            <w:tcW w:w="1439" w:type="dxa"/>
          </w:tcPr>
          <w:p w14:paraId="1206848A" w14:textId="05F8CFC1" w:rsidR="005C1755" w:rsidRPr="005C1755" w:rsidRDefault="005C1755" w:rsidP="005C1755">
            <w:pPr>
              <w:pStyle w:val="Tablebody"/>
              <w:jc w:val="center"/>
            </w:pPr>
            <w:r w:rsidRPr="005C1755">
              <w:t>Liver biopsy</w:t>
            </w:r>
          </w:p>
        </w:tc>
      </w:tr>
      <w:tr w:rsidR="005C1755" w:rsidRPr="005C1755" w14:paraId="30762E19" w14:textId="77777777" w:rsidTr="005C1755">
        <w:tc>
          <w:tcPr>
            <w:tcW w:w="1438" w:type="dxa"/>
          </w:tcPr>
          <w:p w14:paraId="5FDF94F3" w14:textId="77777777" w:rsidR="005C1755" w:rsidRPr="005C1755" w:rsidRDefault="005C1755" w:rsidP="005C1755">
            <w:pPr>
              <w:pStyle w:val="Tablebody"/>
              <w:jc w:val="center"/>
            </w:pPr>
            <w:r w:rsidRPr="005C1755">
              <w:t>31 months</w:t>
            </w:r>
          </w:p>
        </w:tc>
        <w:tc>
          <w:tcPr>
            <w:tcW w:w="1438" w:type="dxa"/>
          </w:tcPr>
          <w:p w14:paraId="1F6224AB" w14:textId="77777777" w:rsidR="005C1755" w:rsidRPr="005C1755" w:rsidRDefault="005C1755" w:rsidP="005C1755">
            <w:pPr>
              <w:pStyle w:val="Tablebody"/>
              <w:jc w:val="center"/>
            </w:pPr>
            <w:r w:rsidRPr="005C1755">
              <w:t>2 months</w:t>
            </w:r>
          </w:p>
        </w:tc>
        <w:tc>
          <w:tcPr>
            <w:tcW w:w="1438" w:type="dxa"/>
          </w:tcPr>
          <w:p w14:paraId="1325674D" w14:textId="77777777" w:rsidR="005C1755" w:rsidRPr="005C1755" w:rsidRDefault="005C1755" w:rsidP="005C1755">
            <w:pPr>
              <w:pStyle w:val="Tablebody"/>
              <w:jc w:val="center"/>
            </w:pPr>
            <w:r w:rsidRPr="005C1755">
              <w:t>418</w:t>
            </w:r>
          </w:p>
        </w:tc>
        <w:tc>
          <w:tcPr>
            <w:tcW w:w="1439" w:type="dxa"/>
          </w:tcPr>
          <w:p w14:paraId="1CF8AAC6" w14:textId="77777777" w:rsidR="005C1755" w:rsidRPr="005C1755" w:rsidRDefault="005C1755" w:rsidP="005C1755">
            <w:pPr>
              <w:pStyle w:val="Tablebody"/>
              <w:jc w:val="center"/>
            </w:pPr>
            <w:r w:rsidRPr="005C1755">
              <w:t>102</w:t>
            </w:r>
          </w:p>
        </w:tc>
        <w:tc>
          <w:tcPr>
            <w:tcW w:w="1439" w:type="dxa"/>
          </w:tcPr>
          <w:p w14:paraId="70C188C6" w14:textId="27B2B65B" w:rsidR="005C1755" w:rsidRPr="005C1755" w:rsidRDefault="005C1755" w:rsidP="005C1755">
            <w:pPr>
              <w:pStyle w:val="Tablebody"/>
              <w:jc w:val="center"/>
            </w:pPr>
            <w:r w:rsidRPr="005C1755">
              <w:t>0.4</w:t>
            </w:r>
          </w:p>
        </w:tc>
        <w:tc>
          <w:tcPr>
            <w:tcW w:w="1439" w:type="dxa"/>
          </w:tcPr>
          <w:p w14:paraId="4BA91422" w14:textId="77777777" w:rsidR="005C1755" w:rsidRPr="005C1755" w:rsidRDefault="005C1755" w:rsidP="005C1755">
            <w:pPr>
              <w:pStyle w:val="Tablebody"/>
              <w:jc w:val="center"/>
            </w:pPr>
          </w:p>
        </w:tc>
      </w:tr>
      <w:tr w:rsidR="005C1755" w:rsidRPr="005C1755" w14:paraId="018112DC" w14:textId="77777777" w:rsidTr="00046523">
        <w:tc>
          <w:tcPr>
            <w:tcW w:w="2876" w:type="dxa"/>
            <w:gridSpan w:val="2"/>
          </w:tcPr>
          <w:p w14:paraId="06819A29" w14:textId="49A89617" w:rsidR="005C1755" w:rsidRPr="005C1755" w:rsidRDefault="005C1755" w:rsidP="005C1755">
            <w:pPr>
              <w:pStyle w:val="Tablebody"/>
              <w:jc w:val="center"/>
              <w:rPr>
                <w:b/>
              </w:rPr>
            </w:pPr>
            <w:r w:rsidRPr="005C1755">
              <w:rPr>
                <w:b/>
              </w:rPr>
              <w:t>Normal Values</w:t>
            </w:r>
          </w:p>
        </w:tc>
        <w:tc>
          <w:tcPr>
            <w:tcW w:w="1438" w:type="dxa"/>
          </w:tcPr>
          <w:p w14:paraId="3503BCA9" w14:textId="7BE25FA1" w:rsidR="005C1755" w:rsidRPr="005C1755" w:rsidRDefault="005C1755" w:rsidP="005C1755">
            <w:pPr>
              <w:pStyle w:val="Tablebody"/>
              <w:jc w:val="center"/>
              <w:rPr>
                <w:b/>
              </w:rPr>
            </w:pPr>
            <w:r w:rsidRPr="005C1755">
              <w:rPr>
                <w:b/>
              </w:rPr>
              <w:t>&lt;40</w:t>
            </w:r>
          </w:p>
        </w:tc>
        <w:tc>
          <w:tcPr>
            <w:tcW w:w="1439" w:type="dxa"/>
          </w:tcPr>
          <w:p w14:paraId="6B6967D9" w14:textId="6FA0861D" w:rsidR="005C1755" w:rsidRPr="005C1755" w:rsidRDefault="005C1755" w:rsidP="005C1755">
            <w:pPr>
              <w:pStyle w:val="Tablebody"/>
              <w:jc w:val="center"/>
              <w:rPr>
                <w:b/>
              </w:rPr>
            </w:pPr>
            <w:r w:rsidRPr="005C1755">
              <w:rPr>
                <w:b/>
              </w:rPr>
              <w:t>&lt;104</w:t>
            </w:r>
          </w:p>
        </w:tc>
        <w:tc>
          <w:tcPr>
            <w:tcW w:w="1439" w:type="dxa"/>
          </w:tcPr>
          <w:p w14:paraId="3A1A1280" w14:textId="32424FDF" w:rsidR="005C1755" w:rsidRPr="005C1755" w:rsidRDefault="005C1755" w:rsidP="005C1755">
            <w:pPr>
              <w:pStyle w:val="Tablebody"/>
              <w:jc w:val="center"/>
              <w:rPr>
                <w:b/>
              </w:rPr>
            </w:pPr>
            <w:r w:rsidRPr="005C1755">
              <w:rPr>
                <w:b/>
              </w:rPr>
              <w:t>&lt;1.2</w:t>
            </w:r>
          </w:p>
        </w:tc>
        <w:tc>
          <w:tcPr>
            <w:tcW w:w="1439" w:type="dxa"/>
          </w:tcPr>
          <w:p w14:paraId="15448A79" w14:textId="77777777" w:rsidR="005C1755" w:rsidRPr="005C1755" w:rsidRDefault="005C1755" w:rsidP="005C1755">
            <w:pPr>
              <w:pStyle w:val="Tablebody"/>
              <w:jc w:val="center"/>
            </w:pPr>
          </w:p>
        </w:tc>
      </w:tr>
    </w:tbl>
    <w:p w14:paraId="3CD7DA90" w14:textId="77777777" w:rsidR="005C1755" w:rsidRDefault="005C1755" w:rsidP="005C1755">
      <w:pPr>
        <w:pStyle w:val="Heading4"/>
      </w:pPr>
      <w:r>
        <w:t>Comment</w:t>
      </w:r>
    </w:p>
    <w:p w14:paraId="3FE89C1B" w14:textId="77777777" w:rsidR="005C1755" w:rsidRDefault="005C1755" w:rsidP="005C1755">
      <w:r>
        <w:t>Fatty liver develops in up to one third of women treated with tamoxifen, but is usually benign and not associated with serum enzyme elevations, symptoms or progressive liver disease.  In a proportion of patients, however, the accumulation of fat is associated with appearance of inflammation and cell injury (steatohepatitis), which can lead to progressive fibrosis and ultimately to cirrhosis.  Serum aminotransferase levels are usually minimally elevated.  In this case, ALT elevations were moderate and persistent, leading to liver biopsy and attempts to treat the fatty liver injury using ursodiol and vitamin E while continuing tamoxifen.  These interventions appeared to have no effect, and serum enzymes continued to rise.  A follow up liver biopsy showed worsening of the injury and progressive fibrosis.  Stopping tamoxifen led to improvements in serum enzyme elevations but the improvement was slow and incomplete.</w:t>
      </w:r>
    </w:p>
    <w:p w14:paraId="59B990D2" w14:textId="77777777" w:rsidR="005C1755" w:rsidRDefault="005C1755" w:rsidP="005C1755">
      <w:r>
        <w:t xml:space="preserve"> </w:t>
      </w:r>
    </w:p>
    <w:p w14:paraId="3EF5C066" w14:textId="77777777" w:rsidR="005C1755" w:rsidRDefault="005C1755" w:rsidP="005C1755"/>
    <w:p w14:paraId="74E2E969" w14:textId="77777777" w:rsidR="005C1755" w:rsidRDefault="005C1755" w:rsidP="005C1755">
      <w:pPr>
        <w:pStyle w:val="Heading3"/>
      </w:pPr>
      <w:r>
        <w:t>Case 2.  Nonalcoholic steatohepatitis after long term corticosteroid therapy.</w:t>
      </w:r>
    </w:p>
    <w:p w14:paraId="4021519D" w14:textId="77777777" w:rsidR="005C1755" w:rsidRDefault="005C1755" w:rsidP="005C1755">
      <w:r>
        <w:t>[Modified from:  Itoh S, Igarashi M, Tsukada Y, Ichinoe A. Nonalcoholic fatty liver with alcoholic hyaline after long-term glucocorticoid therapy. Acta Hepato-Gastroenterologica 1977; 24: 415-8. PubMed Citation]</w:t>
      </w:r>
    </w:p>
    <w:p w14:paraId="5944C03C" w14:textId="77777777" w:rsidR="005C1755" w:rsidRDefault="005C1755" w:rsidP="005C1755">
      <w:r>
        <w:t xml:space="preserve"> </w:t>
      </w:r>
    </w:p>
    <w:p w14:paraId="3D8FB396" w14:textId="77777777" w:rsidR="005C1755" w:rsidRDefault="005C1755" w:rsidP="005C1755"/>
    <w:p w14:paraId="4CE949A6" w14:textId="77777777" w:rsidR="005C1755" w:rsidRDefault="005C1755" w:rsidP="005C1755">
      <w:r>
        <w:t>A 34 year old woman with systemic lupus erythematosis was treated with betamethasone with good clinical response with improvements in rash, fatigue and laboratory tests.  Over a 6 month period, the daily dosage was gradually decreased from 5 to 1.25 mg daily.  Initially, her liver tests were normal, but with corticosteroid therapy, ALT and AST were mildly elevated (Table).  However, after 16 months of therapy, serum aminotransferase levels were more than 5 fold elevated (ALT 256 U/L, AST 272 U/L) and she was readmitted for evaluation.  Her weight had risen by 11 kilograms and she had firm hepatomegaly.  Laboratory tests showed elevations in serum aminotransferase levels, but normal serum bilirubin, albumin, and prothrombin time.  She had an abnormal glucose tolerance test (fasting 118 mg/dL, 2 hour postprandial glucose 248 mg/dL).  Testing for HBsAg was negative.  She was known to be positive for antinuclear antibody (1:128).  She denied alcohol use which was confirmed by family and friends.  A liver biopsy showed marked steatosis with inflammation including neutrophils, occasional Mallory bodies and mild central sinusoidal and portal fibrosis.  Weight loss led to slight decreases in serum ALT levels.</w:t>
      </w:r>
    </w:p>
    <w:p w14:paraId="2CBB3C13" w14:textId="77777777" w:rsidR="005C1755" w:rsidRDefault="005C1755" w:rsidP="005C1755">
      <w:r>
        <w:t xml:space="preserve"> </w:t>
      </w:r>
    </w:p>
    <w:p w14:paraId="25FC656B" w14:textId="77777777" w:rsidR="005C1755" w:rsidRDefault="005C1755" w:rsidP="005C1755"/>
    <w:p w14:paraId="5ECB7C68" w14:textId="77777777" w:rsidR="005C1755" w:rsidRDefault="005C1755" w:rsidP="005C1755">
      <w:pPr>
        <w:pStyle w:val="Heading4"/>
      </w:pPr>
      <w:r>
        <w:t>Key Points</w:t>
      </w:r>
    </w:p>
    <w:tbl>
      <w:tblPr>
        <w:tblStyle w:val="TableGrid"/>
        <w:tblW w:w="0" w:type="auto"/>
        <w:tblLook w:val="04A0" w:firstRow="1" w:lastRow="0" w:firstColumn="1" w:lastColumn="0" w:noHBand="0" w:noVBand="1"/>
      </w:tblPr>
      <w:tblGrid>
        <w:gridCol w:w="5035"/>
        <w:gridCol w:w="5035"/>
      </w:tblGrid>
      <w:tr w:rsidR="00443A87" w:rsidRPr="00443A87" w14:paraId="4602E990" w14:textId="77777777" w:rsidTr="00443A87">
        <w:tc>
          <w:tcPr>
            <w:tcW w:w="5035" w:type="dxa"/>
          </w:tcPr>
          <w:p w14:paraId="0B029390" w14:textId="77777777" w:rsidR="00443A87" w:rsidRPr="00443A87" w:rsidRDefault="00443A87" w:rsidP="00054667">
            <w:pPr>
              <w:pStyle w:val="Tablerowhead"/>
            </w:pPr>
            <w:r w:rsidRPr="00443A87">
              <w:t>Medication:</w:t>
            </w:r>
          </w:p>
        </w:tc>
        <w:tc>
          <w:tcPr>
            <w:tcW w:w="5035" w:type="dxa"/>
          </w:tcPr>
          <w:p w14:paraId="7CE3B0CF" w14:textId="77777777" w:rsidR="00443A87" w:rsidRPr="00443A87" w:rsidRDefault="00443A87" w:rsidP="00443A87">
            <w:pPr>
              <w:pStyle w:val="Tablebody"/>
            </w:pPr>
            <w:r w:rsidRPr="00443A87">
              <w:t>Betamethasone (1.25 mg daily)</w:t>
            </w:r>
          </w:p>
        </w:tc>
      </w:tr>
      <w:tr w:rsidR="00443A87" w:rsidRPr="00443A87" w14:paraId="01066878" w14:textId="77777777" w:rsidTr="00443A87">
        <w:tc>
          <w:tcPr>
            <w:tcW w:w="5035" w:type="dxa"/>
          </w:tcPr>
          <w:p w14:paraId="78C71698" w14:textId="77777777" w:rsidR="00443A87" w:rsidRPr="00443A87" w:rsidRDefault="00443A87" w:rsidP="00054667">
            <w:pPr>
              <w:pStyle w:val="Tablerowhead"/>
            </w:pPr>
            <w:r w:rsidRPr="00443A87">
              <w:t>Pattern:</w:t>
            </w:r>
          </w:p>
        </w:tc>
        <w:tc>
          <w:tcPr>
            <w:tcW w:w="5035" w:type="dxa"/>
          </w:tcPr>
          <w:p w14:paraId="08BACAE5" w14:textId="77777777" w:rsidR="00443A87" w:rsidRPr="00443A87" w:rsidRDefault="00443A87" w:rsidP="00443A87">
            <w:pPr>
              <w:pStyle w:val="Tablebody"/>
            </w:pPr>
            <w:r w:rsidRPr="00443A87">
              <w:t>Hepatocellular or mixed (R=~4.6)</w:t>
            </w:r>
          </w:p>
        </w:tc>
      </w:tr>
      <w:tr w:rsidR="00443A87" w:rsidRPr="00443A87" w14:paraId="4D9B656B" w14:textId="77777777" w:rsidTr="00443A87">
        <w:tc>
          <w:tcPr>
            <w:tcW w:w="5035" w:type="dxa"/>
          </w:tcPr>
          <w:p w14:paraId="6DE27CB0" w14:textId="77777777" w:rsidR="00443A87" w:rsidRPr="00443A87" w:rsidRDefault="00443A87" w:rsidP="00054667">
            <w:pPr>
              <w:pStyle w:val="Tablerowhead"/>
            </w:pPr>
            <w:r w:rsidRPr="00443A87">
              <w:t>Severity:</w:t>
            </w:r>
          </w:p>
        </w:tc>
        <w:tc>
          <w:tcPr>
            <w:tcW w:w="5035" w:type="dxa"/>
          </w:tcPr>
          <w:p w14:paraId="24D65584" w14:textId="77777777" w:rsidR="00443A87" w:rsidRPr="00443A87" w:rsidRDefault="00443A87" w:rsidP="00443A87">
            <w:pPr>
              <w:pStyle w:val="Tablebody"/>
            </w:pPr>
            <w:r w:rsidRPr="00443A87">
              <w:t>Mild (serum enzyme elevations only)</w:t>
            </w:r>
          </w:p>
        </w:tc>
      </w:tr>
      <w:tr w:rsidR="00443A87" w:rsidRPr="00443A87" w14:paraId="1CDB9215" w14:textId="77777777" w:rsidTr="00443A87">
        <w:tc>
          <w:tcPr>
            <w:tcW w:w="5035" w:type="dxa"/>
          </w:tcPr>
          <w:p w14:paraId="5D8EAA1D" w14:textId="77777777" w:rsidR="00443A87" w:rsidRPr="00443A87" w:rsidRDefault="00443A87" w:rsidP="00054667">
            <w:pPr>
              <w:pStyle w:val="Tablerowhead"/>
            </w:pPr>
            <w:r w:rsidRPr="00443A87">
              <w:t>Latency:</w:t>
            </w:r>
          </w:p>
        </w:tc>
        <w:tc>
          <w:tcPr>
            <w:tcW w:w="5035" w:type="dxa"/>
          </w:tcPr>
          <w:p w14:paraId="4520F81F" w14:textId="77777777" w:rsidR="00443A87" w:rsidRPr="00443A87" w:rsidRDefault="00443A87" w:rsidP="00443A87">
            <w:pPr>
              <w:pStyle w:val="Tablebody"/>
            </w:pPr>
            <w:r w:rsidRPr="00443A87">
              <w:t>Several months</w:t>
            </w:r>
          </w:p>
        </w:tc>
      </w:tr>
      <w:tr w:rsidR="00443A87" w:rsidRPr="00443A87" w14:paraId="59F88185" w14:textId="77777777" w:rsidTr="00443A87">
        <w:tc>
          <w:tcPr>
            <w:tcW w:w="5035" w:type="dxa"/>
          </w:tcPr>
          <w:p w14:paraId="2E7FFAC9" w14:textId="77777777" w:rsidR="00443A87" w:rsidRPr="00443A87" w:rsidRDefault="00443A87" w:rsidP="00054667">
            <w:pPr>
              <w:pStyle w:val="Tablerowhead"/>
            </w:pPr>
            <w:r w:rsidRPr="00443A87">
              <w:t>Recovery:</w:t>
            </w:r>
          </w:p>
        </w:tc>
        <w:tc>
          <w:tcPr>
            <w:tcW w:w="5035" w:type="dxa"/>
          </w:tcPr>
          <w:p w14:paraId="7EC4AB9C" w14:textId="77777777" w:rsidR="00443A87" w:rsidRPr="00443A87" w:rsidRDefault="00443A87" w:rsidP="00443A87">
            <w:pPr>
              <w:pStyle w:val="Tablebody"/>
            </w:pPr>
            <w:r w:rsidRPr="00443A87">
              <w:t>Not mentioned</w:t>
            </w:r>
          </w:p>
        </w:tc>
      </w:tr>
      <w:tr w:rsidR="00443A87" w:rsidRPr="00443A87" w14:paraId="58640953" w14:textId="77777777" w:rsidTr="00443A87">
        <w:tc>
          <w:tcPr>
            <w:tcW w:w="5035" w:type="dxa"/>
          </w:tcPr>
          <w:p w14:paraId="2D8DC347" w14:textId="77777777" w:rsidR="00443A87" w:rsidRPr="00443A87" w:rsidRDefault="00443A87" w:rsidP="00054667">
            <w:pPr>
              <w:pStyle w:val="Tablerowhead"/>
            </w:pPr>
            <w:r w:rsidRPr="00443A87">
              <w:t>Other medications:</w:t>
            </w:r>
          </w:p>
        </w:tc>
        <w:tc>
          <w:tcPr>
            <w:tcW w:w="5035" w:type="dxa"/>
          </w:tcPr>
          <w:p w14:paraId="32894D37" w14:textId="77777777" w:rsidR="00443A87" w:rsidRPr="00443A87" w:rsidRDefault="00443A87" w:rsidP="00443A87">
            <w:pPr>
              <w:pStyle w:val="Tablebody"/>
            </w:pPr>
            <w:r w:rsidRPr="00443A87">
              <w:t>None mentioned</w:t>
            </w:r>
          </w:p>
        </w:tc>
      </w:tr>
    </w:tbl>
    <w:p w14:paraId="45E52E77" w14:textId="77777777" w:rsidR="005C1755" w:rsidRDefault="005C1755" w:rsidP="005C1755">
      <w:pPr>
        <w:pStyle w:val="Heading4"/>
      </w:pPr>
      <w:r>
        <w:t>Laboratory Values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443A87" w:rsidRPr="00443A87" w14:paraId="51E4BEAF" w14:textId="77777777" w:rsidTr="00443A87">
        <w:tc>
          <w:tcPr>
            <w:tcW w:w="1678" w:type="dxa"/>
          </w:tcPr>
          <w:p w14:paraId="099AF3FB" w14:textId="77777777" w:rsidR="00443A87" w:rsidRPr="00443A87" w:rsidRDefault="00443A87" w:rsidP="00443A87">
            <w:pPr>
              <w:pStyle w:val="Tableheader"/>
              <w:jc w:val="center"/>
            </w:pPr>
            <w:r w:rsidRPr="00443A87">
              <w:t>Months After Starting</w:t>
            </w:r>
          </w:p>
        </w:tc>
        <w:tc>
          <w:tcPr>
            <w:tcW w:w="1678" w:type="dxa"/>
          </w:tcPr>
          <w:p w14:paraId="23CB399E" w14:textId="77777777" w:rsidR="00443A87" w:rsidRDefault="00443A87" w:rsidP="00443A87">
            <w:pPr>
              <w:pStyle w:val="Tableheader"/>
              <w:jc w:val="center"/>
            </w:pPr>
            <w:r w:rsidRPr="00443A87">
              <w:t xml:space="preserve">Body Weight </w:t>
            </w:r>
          </w:p>
          <w:p w14:paraId="188E8C46" w14:textId="1119BF43" w:rsidR="00443A87" w:rsidRPr="00443A87" w:rsidRDefault="00443A87" w:rsidP="00443A87">
            <w:pPr>
              <w:pStyle w:val="Tableheader"/>
              <w:jc w:val="center"/>
            </w:pPr>
            <w:r w:rsidRPr="00443A87">
              <w:t>(kg)</w:t>
            </w:r>
          </w:p>
        </w:tc>
        <w:tc>
          <w:tcPr>
            <w:tcW w:w="1678" w:type="dxa"/>
          </w:tcPr>
          <w:p w14:paraId="5F9EB885" w14:textId="77777777" w:rsidR="00443A87" w:rsidRDefault="00443A87" w:rsidP="00443A87">
            <w:pPr>
              <w:pStyle w:val="Tableheader"/>
              <w:jc w:val="center"/>
            </w:pPr>
            <w:r w:rsidRPr="00443A87">
              <w:t>ALT</w:t>
            </w:r>
          </w:p>
          <w:p w14:paraId="2FA813BA" w14:textId="7EF03142" w:rsidR="00443A87" w:rsidRPr="00443A87" w:rsidRDefault="00443A87" w:rsidP="00443A87">
            <w:pPr>
              <w:pStyle w:val="Tableheader"/>
              <w:jc w:val="center"/>
            </w:pPr>
            <w:r w:rsidRPr="00443A87">
              <w:t xml:space="preserve"> (U/L)</w:t>
            </w:r>
          </w:p>
        </w:tc>
        <w:tc>
          <w:tcPr>
            <w:tcW w:w="1678" w:type="dxa"/>
          </w:tcPr>
          <w:p w14:paraId="23E0B799" w14:textId="77777777" w:rsidR="00443A87" w:rsidRDefault="00443A87" w:rsidP="00443A87">
            <w:pPr>
              <w:pStyle w:val="Tableheader"/>
              <w:jc w:val="center"/>
            </w:pPr>
            <w:r w:rsidRPr="00443A87">
              <w:t>Alk P</w:t>
            </w:r>
          </w:p>
          <w:p w14:paraId="5E09862F" w14:textId="2B0CC4A5" w:rsidR="00443A87" w:rsidRPr="00443A87" w:rsidRDefault="00443A87" w:rsidP="00443A87">
            <w:pPr>
              <w:pStyle w:val="Tableheader"/>
              <w:jc w:val="center"/>
            </w:pPr>
            <w:r w:rsidRPr="00443A87">
              <w:t xml:space="preserve"> (U/L)</w:t>
            </w:r>
          </w:p>
        </w:tc>
        <w:tc>
          <w:tcPr>
            <w:tcW w:w="1679" w:type="dxa"/>
          </w:tcPr>
          <w:p w14:paraId="60860925" w14:textId="77777777" w:rsidR="00443A87" w:rsidRDefault="00443A87" w:rsidP="00443A87">
            <w:pPr>
              <w:pStyle w:val="Tableheader"/>
              <w:jc w:val="center"/>
            </w:pPr>
            <w:r w:rsidRPr="00443A87">
              <w:t>Albumin</w:t>
            </w:r>
          </w:p>
          <w:p w14:paraId="2E6D9B15" w14:textId="6719B6C8" w:rsidR="00443A87" w:rsidRPr="00443A87" w:rsidRDefault="00443A87" w:rsidP="00443A87">
            <w:pPr>
              <w:pStyle w:val="Tableheader"/>
              <w:jc w:val="center"/>
            </w:pPr>
            <w:r w:rsidRPr="00443A87">
              <w:t xml:space="preserve"> (g/dL)</w:t>
            </w:r>
          </w:p>
        </w:tc>
        <w:tc>
          <w:tcPr>
            <w:tcW w:w="1679" w:type="dxa"/>
          </w:tcPr>
          <w:p w14:paraId="3DE33E95" w14:textId="77777777" w:rsidR="00443A87" w:rsidRPr="00443A87" w:rsidRDefault="00443A87" w:rsidP="00443A87">
            <w:pPr>
              <w:pStyle w:val="Tableheader"/>
              <w:jc w:val="center"/>
            </w:pPr>
            <w:r w:rsidRPr="00443A87">
              <w:t>Other</w:t>
            </w:r>
          </w:p>
        </w:tc>
      </w:tr>
      <w:tr w:rsidR="00443A87" w:rsidRPr="00443A87" w14:paraId="4700F0A0" w14:textId="77777777" w:rsidTr="00443A87">
        <w:tc>
          <w:tcPr>
            <w:tcW w:w="1678" w:type="dxa"/>
          </w:tcPr>
          <w:p w14:paraId="4F741045" w14:textId="77777777" w:rsidR="00443A87" w:rsidRPr="00443A87" w:rsidRDefault="00443A87" w:rsidP="00443A87">
            <w:pPr>
              <w:pStyle w:val="Tablebody"/>
              <w:jc w:val="center"/>
            </w:pPr>
            <w:r w:rsidRPr="00443A87">
              <w:t>0</w:t>
            </w:r>
          </w:p>
        </w:tc>
        <w:tc>
          <w:tcPr>
            <w:tcW w:w="1678" w:type="dxa"/>
          </w:tcPr>
          <w:p w14:paraId="32A118F5" w14:textId="77777777" w:rsidR="00443A87" w:rsidRPr="00443A87" w:rsidRDefault="00443A87" w:rsidP="00443A87">
            <w:pPr>
              <w:pStyle w:val="Tablebody"/>
              <w:jc w:val="center"/>
            </w:pPr>
            <w:r w:rsidRPr="00443A87">
              <w:t>42.7</w:t>
            </w:r>
          </w:p>
        </w:tc>
        <w:tc>
          <w:tcPr>
            <w:tcW w:w="1678" w:type="dxa"/>
          </w:tcPr>
          <w:p w14:paraId="69474C70" w14:textId="77777777" w:rsidR="00443A87" w:rsidRPr="00443A87" w:rsidRDefault="00443A87" w:rsidP="00443A87">
            <w:pPr>
              <w:pStyle w:val="Tablebody"/>
              <w:jc w:val="center"/>
            </w:pPr>
            <w:r w:rsidRPr="00443A87">
              <w:t>18</w:t>
            </w:r>
          </w:p>
        </w:tc>
        <w:tc>
          <w:tcPr>
            <w:tcW w:w="1678" w:type="dxa"/>
          </w:tcPr>
          <w:p w14:paraId="6F4C51EE" w14:textId="77777777" w:rsidR="00443A87" w:rsidRPr="00443A87" w:rsidRDefault="00443A87" w:rsidP="00443A87">
            <w:pPr>
              <w:pStyle w:val="Tablebody"/>
              <w:jc w:val="center"/>
            </w:pPr>
            <w:r w:rsidRPr="00443A87">
              <w:t>95</w:t>
            </w:r>
          </w:p>
        </w:tc>
        <w:tc>
          <w:tcPr>
            <w:tcW w:w="1679" w:type="dxa"/>
          </w:tcPr>
          <w:p w14:paraId="5DF01138" w14:textId="77777777" w:rsidR="00443A87" w:rsidRPr="00443A87" w:rsidRDefault="00443A87" w:rsidP="00443A87">
            <w:pPr>
              <w:pStyle w:val="Tablebody"/>
              <w:jc w:val="center"/>
            </w:pPr>
            <w:r w:rsidRPr="00443A87">
              <w:t>3.4</w:t>
            </w:r>
          </w:p>
        </w:tc>
        <w:tc>
          <w:tcPr>
            <w:tcW w:w="1679" w:type="dxa"/>
          </w:tcPr>
          <w:p w14:paraId="5DD171A0" w14:textId="77777777" w:rsidR="00443A87" w:rsidRPr="00443A87" w:rsidRDefault="00443A87" w:rsidP="00443A87">
            <w:pPr>
              <w:pStyle w:val="Tablebody"/>
              <w:jc w:val="center"/>
            </w:pPr>
          </w:p>
        </w:tc>
      </w:tr>
      <w:tr w:rsidR="00443A87" w:rsidRPr="00443A87" w14:paraId="480757E0" w14:textId="77777777" w:rsidTr="00443A87">
        <w:tc>
          <w:tcPr>
            <w:tcW w:w="1678" w:type="dxa"/>
          </w:tcPr>
          <w:p w14:paraId="0A1BFA60" w14:textId="77777777" w:rsidR="00443A87" w:rsidRPr="00443A87" w:rsidRDefault="00443A87" w:rsidP="00443A87">
            <w:pPr>
              <w:pStyle w:val="Tablebody"/>
              <w:jc w:val="center"/>
            </w:pPr>
            <w:r w:rsidRPr="00443A87">
              <w:t>6</w:t>
            </w:r>
          </w:p>
        </w:tc>
        <w:tc>
          <w:tcPr>
            <w:tcW w:w="1678" w:type="dxa"/>
          </w:tcPr>
          <w:p w14:paraId="6E60FCF4" w14:textId="77777777" w:rsidR="00443A87" w:rsidRPr="00443A87" w:rsidRDefault="00443A87" w:rsidP="00443A87">
            <w:pPr>
              <w:pStyle w:val="Tablebody"/>
              <w:jc w:val="center"/>
            </w:pPr>
            <w:r w:rsidRPr="00443A87">
              <w:t>52.2</w:t>
            </w:r>
          </w:p>
        </w:tc>
        <w:tc>
          <w:tcPr>
            <w:tcW w:w="1678" w:type="dxa"/>
          </w:tcPr>
          <w:p w14:paraId="19D512CE" w14:textId="77777777" w:rsidR="00443A87" w:rsidRPr="00443A87" w:rsidRDefault="00443A87" w:rsidP="00443A87">
            <w:pPr>
              <w:pStyle w:val="Tablebody"/>
              <w:jc w:val="center"/>
            </w:pPr>
            <w:r w:rsidRPr="00443A87">
              <w:t>58</w:t>
            </w:r>
          </w:p>
        </w:tc>
        <w:tc>
          <w:tcPr>
            <w:tcW w:w="1678" w:type="dxa"/>
          </w:tcPr>
          <w:p w14:paraId="1E3F2D8C" w14:textId="77777777" w:rsidR="00443A87" w:rsidRPr="00443A87" w:rsidRDefault="00443A87" w:rsidP="00443A87">
            <w:pPr>
              <w:pStyle w:val="Tablebody"/>
              <w:jc w:val="center"/>
            </w:pPr>
            <w:r w:rsidRPr="00443A87">
              <w:t>62</w:t>
            </w:r>
          </w:p>
        </w:tc>
        <w:tc>
          <w:tcPr>
            <w:tcW w:w="1679" w:type="dxa"/>
          </w:tcPr>
          <w:p w14:paraId="78C31CFC" w14:textId="77777777" w:rsidR="00443A87" w:rsidRPr="00443A87" w:rsidRDefault="00443A87" w:rsidP="00443A87">
            <w:pPr>
              <w:pStyle w:val="Tablebody"/>
              <w:jc w:val="center"/>
            </w:pPr>
            <w:r w:rsidRPr="00443A87">
              <w:t>3.9</w:t>
            </w:r>
          </w:p>
        </w:tc>
        <w:tc>
          <w:tcPr>
            <w:tcW w:w="1679" w:type="dxa"/>
          </w:tcPr>
          <w:p w14:paraId="703BFA89" w14:textId="77777777" w:rsidR="00443A87" w:rsidRPr="00443A87" w:rsidRDefault="00443A87" w:rsidP="00443A87">
            <w:pPr>
              <w:pStyle w:val="Tablebody"/>
              <w:jc w:val="center"/>
            </w:pPr>
          </w:p>
        </w:tc>
      </w:tr>
      <w:tr w:rsidR="00443A87" w:rsidRPr="00443A87" w14:paraId="2A2C3C4A" w14:textId="77777777" w:rsidTr="00443A87">
        <w:tc>
          <w:tcPr>
            <w:tcW w:w="1678" w:type="dxa"/>
          </w:tcPr>
          <w:p w14:paraId="5CC2FAD3" w14:textId="77777777" w:rsidR="00443A87" w:rsidRPr="00443A87" w:rsidRDefault="00443A87" w:rsidP="00443A87">
            <w:pPr>
              <w:pStyle w:val="Tablebody"/>
              <w:jc w:val="center"/>
            </w:pPr>
            <w:r w:rsidRPr="00443A87">
              <w:t>16</w:t>
            </w:r>
          </w:p>
        </w:tc>
        <w:tc>
          <w:tcPr>
            <w:tcW w:w="1678" w:type="dxa"/>
          </w:tcPr>
          <w:p w14:paraId="3F1D514F" w14:textId="77777777" w:rsidR="00443A87" w:rsidRPr="00443A87" w:rsidRDefault="00443A87" w:rsidP="00443A87">
            <w:pPr>
              <w:pStyle w:val="Tablebody"/>
              <w:jc w:val="center"/>
            </w:pPr>
            <w:r w:rsidRPr="00443A87">
              <w:t>58.2</w:t>
            </w:r>
          </w:p>
        </w:tc>
        <w:tc>
          <w:tcPr>
            <w:tcW w:w="1678" w:type="dxa"/>
          </w:tcPr>
          <w:p w14:paraId="62C529AD" w14:textId="77777777" w:rsidR="00443A87" w:rsidRPr="00443A87" w:rsidRDefault="00443A87" w:rsidP="00443A87">
            <w:pPr>
              <w:pStyle w:val="Tablebody"/>
              <w:jc w:val="center"/>
            </w:pPr>
            <w:r w:rsidRPr="00443A87">
              <w:t>256</w:t>
            </w:r>
          </w:p>
        </w:tc>
        <w:tc>
          <w:tcPr>
            <w:tcW w:w="1678" w:type="dxa"/>
          </w:tcPr>
          <w:p w14:paraId="40DCB3DB" w14:textId="77777777" w:rsidR="00443A87" w:rsidRPr="00443A87" w:rsidRDefault="00443A87" w:rsidP="00443A87">
            <w:pPr>
              <w:pStyle w:val="Tablebody"/>
              <w:jc w:val="center"/>
            </w:pPr>
            <w:r w:rsidRPr="00443A87">
              <w:t>131</w:t>
            </w:r>
          </w:p>
        </w:tc>
        <w:tc>
          <w:tcPr>
            <w:tcW w:w="1679" w:type="dxa"/>
          </w:tcPr>
          <w:p w14:paraId="6DECA283" w14:textId="77777777" w:rsidR="00443A87" w:rsidRPr="00443A87" w:rsidRDefault="00443A87" w:rsidP="00443A87">
            <w:pPr>
              <w:pStyle w:val="Tablebody"/>
              <w:jc w:val="center"/>
            </w:pPr>
            <w:r w:rsidRPr="00443A87">
              <w:t>4.0</w:t>
            </w:r>
          </w:p>
        </w:tc>
        <w:tc>
          <w:tcPr>
            <w:tcW w:w="1679" w:type="dxa"/>
          </w:tcPr>
          <w:p w14:paraId="2A236025" w14:textId="77777777" w:rsidR="00443A87" w:rsidRPr="00443A87" w:rsidRDefault="00443A87" w:rsidP="00443A87">
            <w:pPr>
              <w:pStyle w:val="Tablebody"/>
              <w:jc w:val="center"/>
            </w:pPr>
            <w:r w:rsidRPr="00443A87">
              <w:t>Protime 10.4 sec</w:t>
            </w:r>
          </w:p>
        </w:tc>
      </w:tr>
      <w:tr w:rsidR="00443A87" w:rsidRPr="00443A87" w14:paraId="7C3ADCE8" w14:textId="77777777" w:rsidTr="00443A87">
        <w:tc>
          <w:tcPr>
            <w:tcW w:w="1678" w:type="dxa"/>
          </w:tcPr>
          <w:p w14:paraId="7E11BC58" w14:textId="77777777" w:rsidR="00443A87" w:rsidRPr="00443A87" w:rsidRDefault="00443A87" w:rsidP="00443A87">
            <w:pPr>
              <w:pStyle w:val="Tablebody"/>
              <w:jc w:val="center"/>
            </w:pPr>
            <w:r w:rsidRPr="00443A87">
              <w:t>17</w:t>
            </w:r>
          </w:p>
        </w:tc>
        <w:tc>
          <w:tcPr>
            <w:tcW w:w="1678" w:type="dxa"/>
          </w:tcPr>
          <w:p w14:paraId="09737787" w14:textId="77777777" w:rsidR="00443A87" w:rsidRPr="00443A87" w:rsidRDefault="00443A87" w:rsidP="00443A87">
            <w:pPr>
              <w:pStyle w:val="Tablebody"/>
              <w:jc w:val="center"/>
            </w:pPr>
            <w:r w:rsidRPr="00443A87">
              <w:t>55.5</w:t>
            </w:r>
          </w:p>
        </w:tc>
        <w:tc>
          <w:tcPr>
            <w:tcW w:w="1678" w:type="dxa"/>
          </w:tcPr>
          <w:p w14:paraId="2DBD3DC0" w14:textId="77777777" w:rsidR="00443A87" w:rsidRPr="00443A87" w:rsidRDefault="00443A87" w:rsidP="00443A87">
            <w:pPr>
              <w:pStyle w:val="Tablebody"/>
              <w:jc w:val="center"/>
            </w:pPr>
            <w:r w:rsidRPr="00443A87">
              <w:t>134</w:t>
            </w:r>
          </w:p>
        </w:tc>
        <w:tc>
          <w:tcPr>
            <w:tcW w:w="1678" w:type="dxa"/>
          </w:tcPr>
          <w:p w14:paraId="4FF6C212" w14:textId="77777777" w:rsidR="00443A87" w:rsidRPr="00443A87" w:rsidRDefault="00443A87" w:rsidP="00443A87">
            <w:pPr>
              <w:pStyle w:val="Tablebody"/>
              <w:jc w:val="center"/>
            </w:pPr>
            <w:r w:rsidRPr="00443A87">
              <w:t>76</w:t>
            </w:r>
          </w:p>
        </w:tc>
        <w:tc>
          <w:tcPr>
            <w:tcW w:w="1679" w:type="dxa"/>
          </w:tcPr>
          <w:p w14:paraId="488005C7" w14:textId="77777777" w:rsidR="00443A87" w:rsidRPr="00443A87" w:rsidRDefault="00443A87" w:rsidP="00443A87">
            <w:pPr>
              <w:pStyle w:val="Tablebody"/>
              <w:jc w:val="center"/>
            </w:pPr>
            <w:r w:rsidRPr="00443A87">
              <w:t>4.2</w:t>
            </w:r>
          </w:p>
        </w:tc>
        <w:tc>
          <w:tcPr>
            <w:tcW w:w="1679" w:type="dxa"/>
          </w:tcPr>
          <w:p w14:paraId="726A89F1" w14:textId="77777777" w:rsidR="00443A87" w:rsidRPr="00443A87" w:rsidRDefault="00443A87" w:rsidP="00443A87">
            <w:pPr>
              <w:pStyle w:val="Tablebody"/>
              <w:jc w:val="center"/>
            </w:pPr>
          </w:p>
        </w:tc>
      </w:tr>
      <w:tr w:rsidR="00443A87" w:rsidRPr="00443A87" w14:paraId="6B966089" w14:textId="77777777" w:rsidTr="00D0677D">
        <w:tc>
          <w:tcPr>
            <w:tcW w:w="3356" w:type="dxa"/>
            <w:gridSpan w:val="2"/>
          </w:tcPr>
          <w:p w14:paraId="3306AFE2" w14:textId="6DD1F765" w:rsidR="00443A87" w:rsidRPr="00443A87" w:rsidRDefault="00443A87" w:rsidP="00443A87">
            <w:pPr>
              <w:pStyle w:val="Tablebody"/>
              <w:jc w:val="center"/>
              <w:rPr>
                <w:b/>
              </w:rPr>
            </w:pPr>
            <w:r w:rsidRPr="00443A87">
              <w:rPr>
                <w:b/>
              </w:rPr>
              <w:t>Normal Values</w:t>
            </w:r>
          </w:p>
        </w:tc>
        <w:tc>
          <w:tcPr>
            <w:tcW w:w="1678" w:type="dxa"/>
          </w:tcPr>
          <w:p w14:paraId="22964B64" w14:textId="187B9619" w:rsidR="00443A87" w:rsidRPr="00443A87" w:rsidRDefault="00443A87" w:rsidP="00443A87">
            <w:pPr>
              <w:pStyle w:val="Tablebody"/>
              <w:jc w:val="center"/>
              <w:rPr>
                <w:b/>
              </w:rPr>
            </w:pPr>
            <w:r w:rsidRPr="00443A87">
              <w:rPr>
                <w:b/>
              </w:rPr>
              <w:t>&lt;40</w:t>
            </w:r>
          </w:p>
        </w:tc>
        <w:tc>
          <w:tcPr>
            <w:tcW w:w="1678" w:type="dxa"/>
          </w:tcPr>
          <w:p w14:paraId="7AD71072" w14:textId="486314AD" w:rsidR="00443A87" w:rsidRPr="00443A87" w:rsidRDefault="00443A87" w:rsidP="00443A87">
            <w:pPr>
              <w:pStyle w:val="Tablebody"/>
              <w:jc w:val="center"/>
              <w:rPr>
                <w:b/>
              </w:rPr>
            </w:pPr>
            <w:r w:rsidRPr="00443A87">
              <w:rPr>
                <w:b/>
              </w:rPr>
              <w:t>&lt;85</w:t>
            </w:r>
          </w:p>
        </w:tc>
        <w:tc>
          <w:tcPr>
            <w:tcW w:w="1679" w:type="dxa"/>
          </w:tcPr>
          <w:p w14:paraId="279ECC71" w14:textId="610A723B" w:rsidR="00443A87" w:rsidRPr="00443A87" w:rsidRDefault="00443A87" w:rsidP="00443A87">
            <w:pPr>
              <w:pStyle w:val="Tablebody"/>
              <w:jc w:val="center"/>
            </w:pPr>
            <w:r w:rsidRPr="00443A87">
              <w:rPr>
                <w:b/>
              </w:rPr>
              <w:t>&lt;3.5</w:t>
            </w:r>
          </w:p>
        </w:tc>
        <w:tc>
          <w:tcPr>
            <w:tcW w:w="1679" w:type="dxa"/>
          </w:tcPr>
          <w:p w14:paraId="1215DB9A" w14:textId="77777777" w:rsidR="00443A87" w:rsidRPr="00443A87" w:rsidRDefault="00443A87" w:rsidP="00443A87">
            <w:pPr>
              <w:pStyle w:val="Tablebody"/>
              <w:jc w:val="center"/>
            </w:pPr>
          </w:p>
        </w:tc>
      </w:tr>
    </w:tbl>
    <w:p w14:paraId="0DDA5627" w14:textId="77777777" w:rsidR="005C1755" w:rsidRDefault="005C1755" w:rsidP="005C1755">
      <w:pPr>
        <w:pStyle w:val="Heading4"/>
      </w:pPr>
      <w:r>
        <w:t>Comment</w:t>
      </w:r>
    </w:p>
    <w:p w14:paraId="0C27DFC0" w14:textId="77777777" w:rsidR="005C1755" w:rsidRDefault="005C1755" w:rsidP="005C1755">
      <w:r>
        <w:t>This is an early but well documented report of nonalcoholic steatohepatitis arising during corticosteroid therapy.  The patient was evidently asymptomatic of liver disease, but the height of the serum aminotransferase elevations led to a hospital admission and liver biopsy.  An issue is whether the liver disease was due to corticosteroid therapy directly or was the result of weight gain and insulin resistance caused by the therapy, the latter being more likely.  Betamethasone is a synthetic, high potency glucocorticoid; 1.25 mg of betamethasone is roughly equivalent to 15 mg of prednisone.</w:t>
      </w:r>
    </w:p>
    <w:p w14:paraId="70BF8A76" w14:textId="77777777" w:rsidR="005C1755" w:rsidRDefault="005C1755" w:rsidP="005C1755">
      <w:r>
        <w:t xml:space="preserve"> </w:t>
      </w:r>
    </w:p>
    <w:p w14:paraId="7F2FB62B" w14:textId="77777777" w:rsidR="005C1755" w:rsidRDefault="005C1755" w:rsidP="005C1755"/>
    <w:p w14:paraId="31697F56" w14:textId="51DA5A48" w:rsidR="005C1755" w:rsidRDefault="005C1755" w:rsidP="005C1755"/>
    <w:p w14:paraId="3746C808" w14:textId="77777777" w:rsidR="005C1755" w:rsidRDefault="005C1755" w:rsidP="005C1755"/>
    <w:p w14:paraId="3174A0D1" w14:textId="77777777" w:rsidR="005C1755" w:rsidRDefault="005C1755" w:rsidP="005C1755">
      <w:pPr>
        <w:pStyle w:val="Heading2"/>
      </w:pPr>
      <w:r>
        <w:t>Hepatic Histology of Drug Induced Fatty Liver Disease</w:t>
      </w:r>
    </w:p>
    <w:p w14:paraId="57058E46" w14:textId="624A3775" w:rsidR="007C5B06" w:rsidRDefault="005C1755" w:rsidP="005C1755">
      <w:r>
        <w:t>[Under Construction</w:t>
      </w:r>
    </w:p>
    <w:p w14:paraId="47A2EDC4" w14:textId="50885138" w:rsidR="007C5B06" w:rsidRDefault="007C5B06" w:rsidP="009256D4"/>
    <w:p w14:paraId="18A0A318" w14:textId="659D89B6" w:rsidR="007C5B06" w:rsidRDefault="007C5B06" w:rsidP="009256D4"/>
    <w:p w14:paraId="67B8FB95" w14:textId="3E98759F" w:rsidR="007C5B06" w:rsidRDefault="007C5B06" w:rsidP="009256D4"/>
    <w:p w14:paraId="79E51D37" w14:textId="77777777" w:rsidR="007C5B06" w:rsidRDefault="007C5B06" w:rsidP="009256D4"/>
    <w:p w14:paraId="783B87DB" w14:textId="77777777" w:rsidR="00475FE4" w:rsidRPr="009256D4" w:rsidRDefault="00475FE4" w:rsidP="009256D4"/>
    <w:p w14:paraId="1ED7D353" w14:textId="77777777" w:rsidR="009256D4" w:rsidRPr="009256D4" w:rsidRDefault="009256D4" w:rsidP="009256D4">
      <w:pPr>
        <w:sectPr w:rsidR="009256D4" w:rsidRPr="009256D4" w:rsidSect="00AD2F0B">
          <w:type w:val="continuous"/>
          <w:pgSz w:w="12240" w:h="15840" w:code="1"/>
          <w:pgMar w:top="1080" w:right="1080" w:bottom="1080" w:left="1080" w:header="0" w:footer="0" w:gutter="0"/>
          <w:cols w:space="720"/>
          <w:docGrid w:linePitch="326"/>
        </w:sectPr>
      </w:pPr>
    </w:p>
    <w:p w14:paraId="58D2C6E1" w14:textId="77777777" w:rsidR="009256D4" w:rsidRPr="009256D4" w:rsidRDefault="009256D4" w:rsidP="009256D4">
      <w:pPr>
        <w:pStyle w:val="FiguresTablesBoxesSectionHeading"/>
      </w:pPr>
      <w:r w:rsidRPr="009256D4">
        <w:t>Figures, Tables and Boxes Appendix (do not delete)</w:t>
      </w:r>
    </w:p>
    <w:p w14:paraId="29249AA1" w14:textId="77777777" w:rsidR="009256D4" w:rsidRPr="009256D4" w:rsidRDefault="009256D4" w:rsidP="009256D4">
      <w:pPr>
        <w:pStyle w:val="Comment"/>
      </w:pPr>
      <w:r w:rsidRPr="009256D4">
        <w:t>Place numbered figures, tables and boxes (referred to from the main text) below.</w:t>
      </w:r>
    </w:p>
    <w:p w14:paraId="7C4CD3BF" w14:textId="77777777" w:rsidR="009256D4" w:rsidRPr="009256D4" w:rsidRDefault="009256D4" w:rsidP="009256D4">
      <w:pPr>
        <w:pStyle w:val="Comment"/>
      </w:pPr>
      <w:r w:rsidRPr="009256D4">
        <w:t>“In-line” figures (e.g. equations) and tables should be placed within the main text in their desired final location.</w:t>
      </w:r>
    </w:p>
    <w:p w14:paraId="2A644E9C" w14:textId="77777777" w:rsidR="009256D4" w:rsidRPr="009256D4" w:rsidRDefault="009256D4" w:rsidP="009256D4">
      <w:pPr>
        <w:pStyle w:val="Comment"/>
      </w:pPr>
      <w:r w:rsidRPr="009256D4">
        <w:t>Boxes can have a single level of sections; the titles for these sections should be marked up in “Box subhead” style.</w:t>
      </w:r>
    </w:p>
    <w:sectPr w:rsidR="009256D4" w:rsidRPr="009256D4" w:rsidSect="00AD2F0B">
      <w:type w:val="continuous"/>
      <w:pgSz w:w="12240" w:h="15840" w:code="1"/>
      <w:pgMar w:top="1080" w:right="1080" w:bottom="1080" w:left="108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238C7" w14:textId="77777777" w:rsidR="00C971BB" w:rsidRDefault="00C971BB">
      <w:r>
        <w:separator/>
      </w:r>
    </w:p>
  </w:endnote>
  <w:endnote w:type="continuationSeparator" w:id="0">
    <w:p w14:paraId="13796F9D" w14:textId="77777777" w:rsidR="00C971BB" w:rsidRDefault="00C9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EF318" w14:textId="77777777" w:rsidR="00C971BB" w:rsidRDefault="00C971BB">
      <w:r>
        <w:separator/>
      </w:r>
    </w:p>
  </w:footnote>
  <w:footnote w:type="continuationSeparator" w:id="0">
    <w:p w14:paraId="2FB8B3F6" w14:textId="77777777" w:rsidR="00C971BB" w:rsidRDefault="00C97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7EAB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2210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F4E13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F4F4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09A6E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4293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A61E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4E7E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BE7B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3AAE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F743DCC"/>
    <w:multiLevelType w:val="multilevel"/>
    <w:tmpl w:val="F6DCE75C"/>
    <w:lvl w:ilvl="0">
      <w:start w:val="1"/>
      <w:numFmt w:val="decimal"/>
      <w:pStyle w:val="Bulletedlist1"/>
      <w:lvlText w:val="%1."/>
      <w:lvlJc w:val="left"/>
      <w:pPr>
        <w:tabs>
          <w:tab w:val="num" w:pos="720"/>
        </w:tabs>
        <w:ind w:left="720" w:hanging="720"/>
      </w:pPr>
    </w:lvl>
    <w:lvl w:ilvl="1">
      <w:start w:val="1"/>
      <w:numFmt w:val="decimal"/>
      <w:pStyle w:val="Bulletedlist2"/>
      <w:lvlText w:val="%2."/>
      <w:lvlJc w:val="left"/>
      <w:pPr>
        <w:tabs>
          <w:tab w:val="num" w:pos="1440"/>
        </w:tabs>
        <w:ind w:left="1440" w:hanging="720"/>
      </w:pPr>
    </w:lvl>
    <w:lvl w:ilvl="2">
      <w:start w:val="1"/>
      <w:numFmt w:val="decimal"/>
      <w:pStyle w:val="Bulletedlist3"/>
      <w:lvlText w:val="%3."/>
      <w:lvlJc w:val="left"/>
      <w:pPr>
        <w:tabs>
          <w:tab w:val="num" w:pos="2160"/>
        </w:tabs>
        <w:ind w:left="2160" w:hanging="720"/>
      </w:pPr>
    </w:lvl>
    <w:lvl w:ilvl="3">
      <w:start w:val="1"/>
      <w:numFmt w:val="decimal"/>
      <w:pStyle w:val="Bulletedlist4"/>
      <w:lvlText w:val="%4."/>
      <w:lvlJc w:val="left"/>
      <w:pPr>
        <w:tabs>
          <w:tab w:val="num" w:pos="2880"/>
        </w:tabs>
        <w:ind w:left="2880" w:hanging="720"/>
      </w:pPr>
    </w:lvl>
    <w:lvl w:ilvl="4">
      <w:start w:val="1"/>
      <w:numFmt w:val="decimal"/>
      <w:pStyle w:val="Bulletedlis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43D7ACA"/>
    <w:multiLevelType w:val="hybridMultilevel"/>
    <w:tmpl w:val="E328F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1E"/>
    <w:rsid w:val="000018DF"/>
    <w:rsid w:val="00005050"/>
    <w:rsid w:val="00007EAE"/>
    <w:rsid w:val="00014C1C"/>
    <w:rsid w:val="0002423B"/>
    <w:rsid w:val="00026E82"/>
    <w:rsid w:val="00027BE1"/>
    <w:rsid w:val="00033DC7"/>
    <w:rsid w:val="000374DD"/>
    <w:rsid w:val="00041CAC"/>
    <w:rsid w:val="000435ED"/>
    <w:rsid w:val="00046AFC"/>
    <w:rsid w:val="00047F73"/>
    <w:rsid w:val="00050066"/>
    <w:rsid w:val="0005166C"/>
    <w:rsid w:val="00054667"/>
    <w:rsid w:val="00065BCA"/>
    <w:rsid w:val="00081877"/>
    <w:rsid w:val="0008582D"/>
    <w:rsid w:val="00097CF8"/>
    <w:rsid w:val="000A1EE2"/>
    <w:rsid w:val="000A211F"/>
    <w:rsid w:val="000A355F"/>
    <w:rsid w:val="000A3BAC"/>
    <w:rsid w:val="000B2A29"/>
    <w:rsid w:val="000B2D36"/>
    <w:rsid w:val="000B452F"/>
    <w:rsid w:val="000D2E1E"/>
    <w:rsid w:val="000D30A7"/>
    <w:rsid w:val="000D7531"/>
    <w:rsid w:val="000E075D"/>
    <w:rsid w:val="000E0814"/>
    <w:rsid w:val="000E0A7B"/>
    <w:rsid w:val="000F34E4"/>
    <w:rsid w:val="000F3CD0"/>
    <w:rsid w:val="000F5F9A"/>
    <w:rsid w:val="00100E1C"/>
    <w:rsid w:val="00102C09"/>
    <w:rsid w:val="001030A7"/>
    <w:rsid w:val="00103EF3"/>
    <w:rsid w:val="0010482C"/>
    <w:rsid w:val="00113005"/>
    <w:rsid w:val="0012438B"/>
    <w:rsid w:val="001244FF"/>
    <w:rsid w:val="00140A45"/>
    <w:rsid w:val="00142230"/>
    <w:rsid w:val="0014280F"/>
    <w:rsid w:val="0014638B"/>
    <w:rsid w:val="00146E9A"/>
    <w:rsid w:val="00147C00"/>
    <w:rsid w:val="00155F70"/>
    <w:rsid w:val="00161D53"/>
    <w:rsid w:val="001628EB"/>
    <w:rsid w:val="001629A0"/>
    <w:rsid w:val="001633FA"/>
    <w:rsid w:val="00164C54"/>
    <w:rsid w:val="001656DD"/>
    <w:rsid w:val="0017058D"/>
    <w:rsid w:val="00171E77"/>
    <w:rsid w:val="0017359F"/>
    <w:rsid w:val="001752FD"/>
    <w:rsid w:val="00176093"/>
    <w:rsid w:val="0017768F"/>
    <w:rsid w:val="001777F6"/>
    <w:rsid w:val="001821BF"/>
    <w:rsid w:val="00183413"/>
    <w:rsid w:val="001837D2"/>
    <w:rsid w:val="00185AB6"/>
    <w:rsid w:val="00187731"/>
    <w:rsid w:val="001932B3"/>
    <w:rsid w:val="00194909"/>
    <w:rsid w:val="00197359"/>
    <w:rsid w:val="001B1602"/>
    <w:rsid w:val="001B3CBC"/>
    <w:rsid w:val="001B5A5D"/>
    <w:rsid w:val="001D148B"/>
    <w:rsid w:val="001D298C"/>
    <w:rsid w:val="001E428B"/>
    <w:rsid w:val="001E4DDE"/>
    <w:rsid w:val="001E7227"/>
    <w:rsid w:val="001E7485"/>
    <w:rsid w:val="001F15BD"/>
    <w:rsid w:val="001F57D9"/>
    <w:rsid w:val="00204734"/>
    <w:rsid w:val="00207804"/>
    <w:rsid w:val="0021165D"/>
    <w:rsid w:val="00212CAD"/>
    <w:rsid w:val="00213A3C"/>
    <w:rsid w:val="0021495F"/>
    <w:rsid w:val="002216CD"/>
    <w:rsid w:val="00225AF5"/>
    <w:rsid w:val="0023615D"/>
    <w:rsid w:val="00237B2B"/>
    <w:rsid w:val="0024108F"/>
    <w:rsid w:val="002442CD"/>
    <w:rsid w:val="00245A71"/>
    <w:rsid w:val="00247376"/>
    <w:rsid w:val="00254C0C"/>
    <w:rsid w:val="0025541C"/>
    <w:rsid w:val="00256208"/>
    <w:rsid w:val="0025646D"/>
    <w:rsid w:val="002611DA"/>
    <w:rsid w:val="002633DD"/>
    <w:rsid w:val="00271899"/>
    <w:rsid w:val="002763DE"/>
    <w:rsid w:val="002824D9"/>
    <w:rsid w:val="00285264"/>
    <w:rsid w:val="0028640E"/>
    <w:rsid w:val="00290239"/>
    <w:rsid w:val="00293C5E"/>
    <w:rsid w:val="002A2545"/>
    <w:rsid w:val="002A567B"/>
    <w:rsid w:val="002A7C94"/>
    <w:rsid w:val="002A7F50"/>
    <w:rsid w:val="002B7C6A"/>
    <w:rsid w:val="002D0673"/>
    <w:rsid w:val="002D1AFC"/>
    <w:rsid w:val="002D39BE"/>
    <w:rsid w:val="002D47B9"/>
    <w:rsid w:val="002E1C35"/>
    <w:rsid w:val="002E359E"/>
    <w:rsid w:val="002E37D0"/>
    <w:rsid w:val="002E3F36"/>
    <w:rsid w:val="002E545F"/>
    <w:rsid w:val="002F1934"/>
    <w:rsid w:val="002F5572"/>
    <w:rsid w:val="003012B3"/>
    <w:rsid w:val="00306EA8"/>
    <w:rsid w:val="00316692"/>
    <w:rsid w:val="00332ADE"/>
    <w:rsid w:val="003456ED"/>
    <w:rsid w:val="00350814"/>
    <w:rsid w:val="003539DC"/>
    <w:rsid w:val="00354BAE"/>
    <w:rsid w:val="0036036B"/>
    <w:rsid w:val="00360D72"/>
    <w:rsid w:val="00364CDD"/>
    <w:rsid w:val="00375FCB"/>
    <w:rsid w:val="00381213"/>
    <w:rsid w:val="00382DFB"/>
    <w:rsid w:val="003846CC"/>
    <w:rsid w:val="003859A3"/>
    <w:rsid w:val="00390929"/>
    <w:rsid w:val="00397291"/>
    <w:rsid w:val="003A5039"/>
    <w:rsid w:val="003B4CA5"/>
    <w:rsid w:val="003B68E3"/>
    <w:rsid w:val="003C5427"/>
    <w:rsid w:val="003C74C8"/>
    <w:rsid w:val="003D114C"/>
    <w:rsid w:val="003D1DD1"/>
    <w:rsid w:val="003D3D87"/>
    <w:rsid w:val="003D7F26"/>
    <w:rsid w:val="003E2CF2"/>
    <w:rsid w:val="003E7248"/>
    <w:rsid w:val="003F09EC"/>
    <w:rsid w:val="003F4DA1"/>
    <w:rsid w:val="00402E93"/>
    <w:rsid w:val="004055B7"/>
    <w:rsid w:val="00406E77"/>
    <w:rsid w:val="00410C8D"/>
    <w:rsid w:val="0041142E"/>
    <w:rsid w:val="00413972"/>
    <w:rsid w:val="00413C58"/>
    <w:rsid w:val="0042027A"/>
    <w:rsid w:val="00422395"/>
    <w:rsid w:val="00431EFB"/>
    <w:rsid w:val="00436065"/>
    <w:rsid w:val="00437773"/>
    <w:rsid w:val="00440737"/>
    <w:rsid w:val="00443A87"/>
    <w:rsid w:val="00444147"/>
    <w:rsid w:val="004442B4"/>
    <w:rsid w:val="004471E6"/>
    <w:rsid w:val="00447237"/>
    <w:rsid w:val="00451BF9"/>
    <w:rsid w:val="00456CDC"/>
    <w:rsid w:val="0045724A"/>
    <w:rsid w:val="0046099D"/>
    <w:rsid w:val="00463CC9"/>
    <w:rsid w:val="0046789A"/>
    <w:rsid w:val="0047081D"/>
    <w:rsid w:val="00473B06"/>
    <w:rsid w:val="00475FE4"/>
    <w:rsid w:val="0047625B"/>
    <w:rsid w:val="00477F8B"/>
    <w:rsid w:val="00480F07"/>
    <w:rsid w:val="00481D83"/>
    <w:rsid w:val="00486344"/>
    <w:rsid w:val="00487F08"/>
    <w:rsid w:val="00493EA3"/>
    <w:rsid w:val="00495B21"/>
    <w:rsid w:val="004A45B7"/>
    <w:rsid w:val="004B0226"/>
    <w:rsid w:val="004C0B3A"/>
    <w:rsid w:val="004C578F"/>
    <w:rsid w:val="004C6F69"/>
    <w:rsid w:val="004D0175"/>
    <w:rsid w:val="004D4BDE"/>
    <w:rsid w:val="004D7185"/>
    <w:rsid w:val="004E4AB1"/>
    <w:rsid w:val="004F0C3A"/>
    <w:rsid w:val="004F2231"/>
    <w:rsid w:val="004F39FD"/>
    <w:rsid w:val="004F41FA"/>
    <w:rsid w:val="004F501A"/>
    <w:rsid w:val="005024F3"/>
    <w:rsid w:val="00503281"/>
    <w:rsid w:val="0050505E"/>
    <w:rsid w:val="005075F9"/>
    <w:rsid w:val="00511822"/>
    <w:rsid w:val="00512235"/>
    <w:rsid w:val="0051661F"/>
    <w:rsid w:val="00526C39"/>
    <w:rsid w:val="00527CAA"/>
    <w:rsid w:val="005337EC"/>
    <w:rsid w:val="0053689D"/>
    <w:rsid w:val="00542863"/>
    <w:rsid w:val="00552829"/>
    <w:rsid w:val="00553A15"/>
    <w:rsid w:val="00560FB1"/>
    <w:rsid w:val="00563F66"/>
    <w:rsid w:val="005663AE"/>
    <w:rsid w:val="005835D5"/>
    <w:rsid w:val="00585614"/>
    <w:rsid w:val="00591FF4"/>
    <w:rsid w:val="0059613A"/>
    <w:rsid w:val="00597377"/>
    <w:rsid w:val="00597968"/>
    <w:rsid w:val="005A1D06"/>
    <w:rsid w:val="005B2DE7"/>
    <w:rsid w:val="005B47D7"/>
    <w:rsid w:val="005B56CF"/>
    <w:rsid w:val="005B7564"/>
    <w:rsid w:val="005C0B96"/>
    <w:rsid w:val="005C1755"/>
    <w:rsid w:val="005C1A7A"/>
    <w:rsid w:val="005C4DBA"/>
    <w:rsid w:val="005C6D40"/>
    <w:rsid w:val="005D0080"/>
    <w:rsid w:val="005E27F0"/>
    <w:rsid w:val="005E7519"/>
    <w:rsid w:val="005F0EC8"/>
    <w:rsid w:val="005F2F35"/>
    <w:rsid w:val="005F7918"/>
    <w:rsid w:val="006010F0"/>
    <w:rsid w:val="00604544"/>
    <w:rsid w:val="0060725D"/>
    <w:rsid w:val="0061269C"/>
    <w:rsid w:val="00625017"/>
    <w:rsid w:val="0062726D"/>
    <w:rsid w:val="006273F6"/>
    <w:rsid w:val="006303E6"/>
    <w:rsid w:val="006357E4"/>
    <w:rsid w:val="0064119C"/>
    <w:rsid w:val="00643252"/>
    <w:rsid w:val="00644FF3"/>
    <w:rsid w:val="00646374"/>
    <w:rsid w:val="00650D15"/>
    <w:rsid w:val="00656E48"/>
    <w:rsid w:val="00660F88"/>
    <w:rsid w:val="006611D4"/>
    <w:rsid w:val="00665EFC"/>
    <w:rsid w:val="0066649C"/>
    <w:rsid w:val="00672734"/>
    <w:rsid w:val="00675095"/>
    <w:rsid w:val="0067578D"/>
    <w:rsid w:val="006966A0"/>
    <w:rsid w:val="00697EB0"/>
    <w:rsid w:val="006A2624"/>
    <w:rsid w:val="006A2BDB"/>
    <w:rsid w:val="006A76E5"/>
    <w:rsid w:val="006B58B2"/>
    <w:rsid w:val="006B5CD1"/>
    <w:rsid w:val="006C7A1C"/>
    <w:rsid w:val="006E5D1F"/>
    <w:rsid w:val="006E5E89"/>
    <w:rsid w:val="006E61CE"/>
    <w:rsid w:val="006F0B69"/>
    <w:rsid w:val="006F1C99"/>
    <w:rsid w:val="006F2D62"/>
    <w:rsid w:val="006F4A67"/>
    <w:rsid w:val="006F5017"/>
    <w:rsid w:val="006F7A13"/>
    <w:rsid w:val="0070096E"/>
    <w:rsid w:val="007013AB"/>
    <w:rsid w:val="007032BF"/>
    <w:rsid w:val="00706DAC"/>
    <w:rsid w:val="00706FBA"/>
    <w:rsid w:val="00707151"/>
    <w:rsid w:val="00714018"/>
    <w:rsid w:val="0071461B"/>
    <w:rsid w:val="00714928"/>
    <w:rsid w:val="00716220"/>
    <w:rsid w:val="00717DA7"/>
    <w:rsid w:val="00724B51"/>
    <w:rsid w:val="007264C0"/>
    <w:rsid w:val="007304B1"/>
    <w:rsid w:val="00732CBE"/>
    <w:rsid w:val="007330A9"/>
    <w:rsid w:val="00734805"/>
    <w:rsid w:val="00742C94"/>
    <w:rsid w:val="007442B1"/>
    <w:rsid w:val="00745292"/>
    <w:rsid w:val="00752E0F"/>
    <w:rsid w:val="0075367C"/>
    <w:rsid w:val="00753AFF"/>
    <w:rsid w:val="00755289"/>
    <w:rsid w:val="00756C68"/>
    <w:rsid w:val="00761CB6"/>
    <w:rsid w:val="00783991"/>
    <w:rsid w:val="007857F3"/>
    <w:rsid w:val="00791867"/>
    <w:rsid w:val="007937ED"/>
    <w:rsid w:val="007B0095"/>
    <w:rsid w:val="007B18F6"/>
    <w:rsid w:val="007C5B06"/>
    <w:rsid w:val="007D5FC1"/>
    <w:rsid w:val="007E780B"/>
    <w:rsid w:val="007E7D0F"/>
    <w:rsid w:val="007F1DAD"/>
    <w:rsid w:val="007F205C"/>
    <w:rsid w:val="007F39D6"/>
    <w:rsid w:val="007F585F"/>
    <w:rsid w:val="007F6B5C"/>
    <w:rsid w:val="0080794A"/>
    <w:rsid w:val="00807A49"/>
    <w:rsid w:val="00814E6F"/>
    <w:rsid w:val="00815C1D"/>
    <w:rsid w:val="0081682D"/>
    <w:rsid w:val="00820CCE"/>
    <w:rsid w:val="00833256"/>
    <w:rsid w:val="00837B69"/>
    <w:rsid w:val="00840C62"/>
    <w:rsid w:val="00841925"/>
    <w:rsid w:val="00843166"/>
    <w:rsid w:val="008570BA"/>
    <w:rsid w:val="00863435"/>
    <w:rsid w:val="00863C73"/>
    <w:rsid w:val="0086712F"/>
    <w:rsid w:val="008715C9"/>
    <w:rsid w:val="0087759E"/>
    <w:rsid w:val="0088199F"/>
    <w:rsid w:val="008822C8"/>
    <w:rsid w:val="00890ED7"/>
    <w:rsid w:val="008926F8"/>
    <w:rsid w:val="008939A1"/>
    <w:rsid w:val="008A1C8E"/>
    <w:rsid w:val="008A2188"/>
    <w:rsid w:val="008A2EB4"/>
    <w:rsid w:val="008A60B6"/>
    <w:rsid w:val="008B10B7"/>
    <w:rsid w:val="008B340A"/>
    <w:rsid w:val="008C27B0"/>
    <w:rsid w:val="008C28D9"/>
    <w:rsid w:val="008C7781"/>
    <w:rsid w:val="008D0631"/>
    <w:rsid w:val="008D42EE"/>
    <w:rsid w:val="008D5228"/>
    <w:rsid w:val="0090001D"/>
    <w:rsid w:val="0090148C"/>
    <w:rsid w:val="00901B5A"/>
    <w:rsid w:val="00903021"/>
    <w:rsid w:val="00910476"/>
    <w:rsid w:val="0091261C"/>
    <w:rsid w:val="00916B4A"/>
    <w:rsid w:val="009172E1"/>
    <w:rsid w:val="009256D4"/>
    <w:rsid w:val="00925FAA"/>
    <w:rsid w:val="009301E9"/>
    <w:rsid w:val="00931BF6"/>
    <w:rsid w:val="009324EE"/>
    <w:rsid w:val="00942789"/>
    <w:rsid w:val="00947504"/>
    <w:rsid w:val="00957C79"/>
    <w:rsid w:val="00961D9D"/>
    <w:rsid w:val="009641DA"/>
    <w:rsid w:val="009660F1"/>
    <w:rsid w:val="00982879"/>
    <w:rsid w:val="00982DD9"/>
    <w:rsid w:val="009834EB"/>
    <w:rsid w:val="0098430A"/>
    <w:rsid w:val="00984692"/>
    <w:rsid w:val="00997CA6"/>
    <w:rsid w:val="009A3F36"/>
    <w:rsid w:val="009B7EF0"/>
    <w:rsid w:val="009C05A2"/>
    <w:rsid w:val="009D3D51"/>
    <w:rsid w:val="009D6E76"/>
    <w:rsid w:val="009E0806"/>
    <w:rsid w:val="009E0B72"/>
    <w:rsid w:val="009E7081"/>
    <w:rsid w:val="009F4822"/>
    <w:rsid w:val="009F490E"/>
    <w:rsid w:val="009F4AE9"/>
    <w:rsid w:val="009F7B7F"/>
    <w:rsid w:val="00A044D9"/>
    <w:rsid w:val="00A05784"/>
    <w:rsid w:val="00A077E1"/>
    <w:rsid w:val="00A10210"/>
    <w:rsid w:val="00A23437"/>
    <w:rsid w:val="00A2415A"/>
    <w:rsid w:val="00A254F1"/>
    <w:rsid w:val="00A34F6D"/>
    <w:rsid w:val="00A37022"/>
    <w:rsid w:val="00A44CF7"/>
    <w:rsid w:val="00A45F16"/>
    <w:rsid w:val="00A57387"/>
    <w:rsid w:val="00A60C13"/>
    <w:rsid w:val="00A72AC8"/>
    <w:rsid w:val="00A73139"/>
    <w:rsid w:val="00A80407"/>
    <w:rsid w:val="00A82CCA"/>
    <w:rsid w:val="00A84B4B"/>
    <w:rsid w:val="00A85FB1"/>
    <w:rsid w:val="00A85FD5"/>
    <w:rsid w:val="00A94521"/>
    <w:rsid w:val="00AA236B"/>
    <w:rsid w:val="00AA2898"/>
    <w:rsid w:val="00AA58ED"/>
    <w:rsid w:val="00AA7B52"/>
    <w:rsid w:val="00AB224B"/>
    <w:rsid w:val="00AB4E1C"/>
    <w:rsid w:val="00AB7EC2"/>
    <w:rsid w:val="00AC0647"/>
    <w:rsid w:val="00AC1844"/>
    <w:rsid w:val="00AC1F71"/>
    <w:rsid w:val="00AC3200"/>
    <w:rsid w:val="00AD2F0B"/>
    <w:rsid w:val="00AD366F"/>
    <w:rsid w:val="00AD6A2F"/>
    <w:rsid w:val="00AD7F66"/>
    <w:rsid w:val="00AF071A"/>
    <w:rsid w:val="00B006CE"/>
    <w:rsid w:val="00B01DF7"/>
    <w:rsid w:val="00B02394"/>
    <w:rsid w:val="00B0393A"/>
    <w:rsid w:val="00B04940"/>
    <w:rsid w:val="00B1090A"/>
    <w:rsid w:val="00B13230"/>
    <w:rsid w:val="00B137AB"/>
    <w:rsid w:val="00B13E02"/>
    <w:rsid w:val="00B140D5"/>
    <w:rsid w:val="00B16C16"/>
    <w:rsid w:val="00B16DDC"/>
    <w:rsid w:val="00B31A7C"/>
    <w:rsid w:val="00B34B97"/>
    <w:rsid w:val="00B3744B"/>
    <w:rsid w:val="00B475F4"/>
    <w:rsid w:val="00B47FD8"/>
    <w:rsid w:val="00B50358"/>
    <w:rsid w:val="00B51423"/>
    <w:rsid w:val="00B51E52"/>
    <w:rsid w:val="00B5420F"/>
    <w:rsid w:val="00B63413"/>
    <w:rsid w:val="00B71F37"/>
    <w:rsid w:val="00B72389"/>
    <w:rsid w:val="00B7485F"/>
    <w:rsid w:val="00B80870"/>
    <w:rsid w:val="00B80E50"/>
    <w:rsid w:val="00B94D05"/>
    <w:rsid w:val="00BA1A6F"/>
    <w:rsid w:val="00BA3FAB"/>
    <w:rsid w:val="00BC6863"/>
    <w:rsid w:val="00BC6C67"/>
    <w:rsid w:val="00BC73D5"/>
    <w:rsid w:val="00BD58AF"/>
    <w:rsid w:val="00BE1687"/>
    <w:rsid w:val="00BE265B"/>
    <w:rsid w:val="00BE622B"/>
    <w:rsid w:val="00BF6C21"/>
    <w:rsid w:val="00BF762F"/>
    <w:rsid w:val="00C03F0C"/>
    <w:rsid w:val="00C10C13"/>
    <w:rsid w:val="00C14ED5"/>
    <w:rsid w:val="00C177BE"/>
    <w:rsid w:val="00C2024F"/>
    <w:rsid w:val="00C239B8"/>
    <w:rsid w:val="00C30505"/>
    <w:rsid w:val="00C306DE"/>
    <w:rsid w:val="00C35B03"/>
    <w:rsid w:val="00C36078"/>
    <w:rsid w:val="00C36217"/>
    <w:rsid w:val="00C36262"/>
    <w:rsid w:val="00C4690C"/>
    <w:rsid w:val="00C51B91"/>
    <w:rsid w:val="00C52C4E"/>
    <w:rsid w:val="00C61B45"/>
    <w:rsid w:val="00C6460C"/>
    <w:rsid w:val="00C708C2"/>
    <w:rsid w:val="00C75E65"/>
    <w:rsid w:val="00C80605"/>
    <w:rsid w:val="00C817B0"/>
    <w:rsid w:val="00C86585"/>
    <w:rsid w:val="00C971BB"/>
    <w:rsid w:val="00CA05C1"/>
    <w:rsid w:val="00CB0693"/>
    <w:rsid w:val="00CB14F9"/>
    <w:rsid w:val="00CB1CA4"/>
    <w:rsid w:val="00CB42E5"/>
    <w:rsid w:val="00CC4FAD"/>
    <w:rsid w:val="00CC5A25"/>
    <w:rsid w:val="00CC5E0A"/>
    <w:rsid w:val="00CC6912"/>
    <w:rsid w:val="00CC7B30"/>
    <w:rsid w:val="00CD1DEB"/>
    <w:rsid w:val="00CE4159"/>
    <w:rsid w:val="00CE4D46"/>
    <w:rsid w:val="00CF3191"/>
    <w:rsid w:val="00CF4BC5"/>
    <w:rsid w:val="00CF62B2"/>
    <w:rsid w:val="00D0034C"/>
    <w:rsid w:val="00D036B0"/>
    <w:rsid w:val="00D0458C"/>
    <w:rsid w:val="00D1549B"/>
    <w:rsid w:val="00D16E75"/>
    <w:rsid w:val="00D21C50"/>
    <w:rsid w:val="00D32B17"/>
    <w:rsid w:val="00D34EC9"/>
    <w:rsid w:val="00D35399"/>
    <w:rsid w:val="00D40F4E"/>
    <w:rsid w:val="00D42675"/>
    <w:rsid w:val="00D427E2"/>
    <w:rsid w:val="00D43687"/>
    <w:rsid w:val="00D5112F"/>
    <w:rsid w:val="00D56508"/>
    <w:rsid w:val="00D72196"/>
    <w:rsid w:val="00D76E52"/>
    <w:rsid w:val="00D942CA"/>
    <w:rsid w:val="00D975F3"/>
    <w:rsid w:val="00DA1932"/>
    <w:rsid w:val="00DA2D82"/>
    <w:rsid w:val="00DA321E"/>
    <w:rsid w:val="00DA450E"/>
    <w:rsid w:val="00DA6D06"/>
    <w:rsid w:val="00DB191C"/>
    <w:rsid w:val="00DB7697"/>
    <w:rsid w:val="00DB7D23"/>
    <w:rsid w:val="00DC0599"/>
    <w:rsid w:val="00DC136C"/>
    <w:rsid w:val="00DC2F78"/>
    <w:rsid w:val="00DC4C9D"/>
    <w:rsid w:val="00DC5BF8"/>
    <w:rsid w:val="00DD0F26"/>
    <w:rsid w:val="00DD50F1"/>
    <w:rsid w:val="00DD6D70"/>
    <w:rsid w:val="00DE6CB5"/>
    <w:rsid w:val="00DE7829"/>
    <w:rsid w:val="00DF1F07"/>
    <w:rsid w:val="00DF6B0C"/>
    <w:rsid w:val="00DF70DB"/>
    <w:rsid w:val="00E012ED"/>
    <w:rsid w:val="00E01E60"/>
    <w:rsid w:val="00E061A9"/>
    <w:rsid w:val="00E10213"/>
    <w:rsid w:val="00E15861"/>
    <w:rsid w:val="00E207BF"/>
    <w:rsid w:val="00E22099"/>
    <w:rsid w:val="00E23C4C"/>
    <w:rsid w:val="00E244C8"/>
    <w:rsid w:val="00E24C0F"/>
    <w:rsid w:val="00E24EBC"/>
    <w:rsid w:val="00E33277"/>
    <w:rsid w:val="00E352C4"/>
    <w:rsid w:val="00E355FD"/>
    <w:rsid w:val="00E41DA4"/>
    <w:rsid w:val="00E4554F"/>
    <w:rsid w:val="00E45927"/>
    <w:rsid w:val="00E60499"/>
    <w:rsid w:val="00E62EA2"/>
    <w:rsid w:val="00E647E1"/>
    <w:rsid w:val="00E70F5B"/>
    <w:rsid w:val="00E9023E"/>
    <w:rsid w:val="00E903D3"/>
    <w:rsid w:val="00E94ABE"/>
    <w:rsid w:val="00E95DD4"/>
    <w:rsid w:val="00E96707"/>
    <w:rsid w:val="00EB1330"/>
    <w:rsid w:val="00EB17C3"/>
    <w:rsid w:val="00EB35EA"/>
    <w:rsid w:val="00EC187A"/>
    <w:rsid w:val="00EC1B36"/>
    <w:rsid w:val="00EC30AD"/>
    <w:rsid w:val="00ED2008"/>
    <w:rsid w:val="00EE029E"/>
    <w:rsid w:val="00EE30DD"/>
    <w:rsid w:val="00EE357F"/>
    <w:rsid w:val="00EE3CCE"/>
    <w:rsid w:val="00EE48DF"/>
    <w:rsid w:val="00EF4A67"/>
    <w:rsid w:val="00EF77F9"/>
    <w:rsid w:val="00EF7A3F"/>
    <w:rsid w:val="00F02343"/>
    <w:rsid w:val="00F13274"/>
    <w:rsid w:val="00F153B3"/>
    <w:rsid w:val="00F22D25"/>
    <w:rsid w:val="00F31806"/>
    <w:rsid w:val="00F32233"/>
    <w:rsid w:val="00F36A02"/>
    <w:rsid w:val="00F437C8"/>
    <w:rsid w:val="00F468D1"/>
    <w:rsid w:val="00F474F2"/>
    <w:rsid w:val="00F52B83"/>
    <w:rsid w:val="00F53226"/>
    <w:rsid w:val="00F5422D"/>
    <w:rsid w:val="00F61B97"/>
    <w:rsid w:val="00F659D9"/>
    <w:rsid w:val="00F65D6F"/>
    <w:rsid w:val="00F77442"/>
    <w:rsid w:val="00F876E8"/>
    <w:rsid w:val="00F87A77"/>
    <w:rsid w:val="00F92CAB"/>
    <w:rsid w:val="00F9323A"/>
    <w:rsid w:val="00F938A2"/>
    <w:rsid w:val="00FA21E2"/>
    <w:rsid w:val="00FC0BBB"/>
    <w:rsid w:val="00FC4E73"/>
    <w:rsid w:val="00FC7D16"/>
    <w:rsid w:val="00FD1724"/>
    <w:rsid w:val="00FD3A74"/>
    <w:rsid w:val="00FD4F97"/>
    <w:rsid w:val="00FE2412"/>
    <w:rsid w:val="00FE6E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BA18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656D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1656DD"/>
    <w:pPr>
      <w:keepNext/>
      <w:spacing w:line="480" w:lineRule="auto"/>
      <w:outlineLvl w:val="0"/>
    </w:pPr>
    <w:rPr>
      <w:b/>
      <w:color w:val="9E0000"/>
      <w:sz w:val="32"/>
    </w:rPr>
  </w:style>
  <w:style w:type="paragraph" w:styleId="Heading2">
    <w:name w:val="heading 2"/>
    <w:basedOn w:val="Normal"/>
    <w:next w:val="Normal"/>
    <w:link w:val="Heading2Char"/>
    <w:qFormat/>
    <w:rsid w:val="001656DD"/>
    <w:pPr>
      <w:keepNext/>
      <w:spacing w:before="240" w:after="60" w:line="480" w:lineRule="auto"/>
      <w:outlineLvl w:val="1"/>
    </w:pPr>
    <w:rPr>
      <w:b/>
      <w:color w:val="5F5F5F"/>
      <w:sz w:val="28"/>
    </w:rPr>
  </w:style>
  <w:style w:type="paragraph" w:styleId="Heading3">
    <w:name w:val="heading 3"/>
    <w:basedOn w:val="Normal"/>
    <w:next w:val="Normal"/>
    <w:link w:val="Heading3Char"/>
    <w:qFormat/>
    <w:rsid w:val="001656DD"/>
    <w:pPr>
      <w:keepNext/>
      <w:spacing w:before="240" w:after="60" w:line="480" w:lineRule="auto"/>
      <w:outlineLvl w:val="2"/>
    </w:pPr>
    <w:rPr>
      <w:b/>
      <w:sz w:val="26"/>
    </w:rPr>
  </w:style>
  <w:style w:type="paragraph" w:styleId="Heading4">
    <w:name w:val="heading 4"/>
    <w:basedOn w:val="Normal"/>
    <w:next w:val="Normal"/>
    <w:link w:val="Heading4Char"/>
    <w:qFormat/>
    <w:rsid w:val="001656DD"/>
    <w:pPr>
      <w:keepNext/>
      <w:spacing w:line="480" w:lineRule="auto"/>
      <w:outlineLvl w:val="3"/>
    </w:pPr>
    <w:rPr>
      <w:rFonts w:eastAsia="Times New Roman"/>
      <w:b/>
    </w:rPr>
  </w:style>
  <w:style w:type="paragraph" w:styleId="Heading5">
    <w:name w:val="heading 5"/>
    <w:basedOn w:val="Normal"/>
    <w:next w:val="Normal"/>
    <w:qFormat/>
    <w:rsid w:val="001656DD"/>
    <w:pPr>
      <w:spacing w:before="240" w:after="60" w:line="480" w:lineRule="auto"/>
      <w:outlineLvl w:val="4"/>
    </w:pPr>
    <w:rPr>
      <w:i/>
    </w:rPr>
  </w:style>
  <w:style w:type="paragraph" w:styleId="Heading6">
    <w:name w:val="heading 6"/>
    <w:basedOn w:val="Normal"/>
    <w:next w:val="Normal"/>
    <w:qFormat/>
    <w:rsid w:val="001656DD"/>
    <w:pPr>
      <w:keepNext/>
      <w:spacing w:line="480" w:lineRule="auto"/>
      <w:outlineLvl w:val="5"/>
    </w:pPr>
    <w:rPr>
      <w:rFonts w:eastAsia="Times New Roman"/>
      <w:b/>
    </w:rPr>
  </w:style>
  <w:style w:type="paragraph" w:styleId="Heading7">
    <w:name w:val="heading 7"/>
    <w:basedOn w:val="Normal"/>
    <w:next w:val="Normal"/>
    <w:qFormat/>
    <w:rsid w:val="001656DD"/>
    <w:pPr>
      <w:keepNext/>
      <w:ind w:right="-900"/>
      <w:jc w:val="both"/>
      <w:outlineLvl w:val="6"/>
    </w:pPr>
    <w:rPr>
      <w:b/>
      <w:sz w:val="20"/>
    </w:rPr>
  </w:style>
  <w:style w:type="paragraph" w:styleId="Heading8">
    <w:name w:val="heading 8"/>
    <w:basedOn w:val="Normal"/>
    <w:next w:val="Normal"/>
    <w:qFormat/>
    <w:rsid w:val="001656DD"/>
    <w:pPr>
      <w:keepNext/>
      <w:spacing w:line="480" w:lineRule="auto"/>
      <w:ind w:left="6" w:right="-900" w:hanging="6"/>
      <w:jc w:val="both"/>
      <w:outlineLvl w:val="7"/>
    </w:pPr>
    <w:rPr>
      <w:b/>
      <w:sz w:val="20"/>
      <w:lang w:val="en-GB"/>
    </w:rPr>
  </w:style>
  <w:style w:type="paragraph" w:styleId="Heading9">
    <w:name w:val="heading 9"/>
    <w:basedOn w:val="Normal"/>
    <w:next w:val="Normal"/>
    <w:autoRedefine/>
    <w:qFormat/>
    <w:rsid w:val="001656DD"/>
    <w:pPr>
      <w:keepNext/>
      <w:outlineLvl w:val="8"/>
    </w:pPr>
    <w:rPr>
      <w:b/>
      <w:lang w:val="en-GB"/>
    </w:rPr>
  </w:style>
  <w:style w:type="character" w:default="1" w:styleId="DefaultParagraphFont">
    <w:name w:val="Default Paragraph Font"/>
    <w:uiPriority w:val="1"/>
    <w:semiHidden/>
    <w:unhideWhenUsed/>
    <w:rsid w:val="001656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656DD"/>
  </w:style>
  <w:style w:type="table" w:styleId="TableGrid">
    <w:name w:val="Table Grid"/>
    <w:basedOn w:val="TableNormal"/>
    <w:rsid w:val="0016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next w:val="Normal"/>
    <w:rsid w:val="001656DD"/>
    <w:rPr>
      <w:sz w:val="20"/>
    </w:rPr>
  </w:style>
  <w:style w:type="paragraph" w:customStyle="1" w:styleId="Comment">
    <w:name w:val="Comment"/>
    <w:basedOn w:val="Normal"/>
    <w:next w:val="Normal"/>
    <w:rsid w:val="001656DD"/>
    <w:pPr>
      <w:shd w:val="clear" w:color="auto" w:fill="FFFF00"/>
      <w:spacing w:before="120"/>
    </w:pPr>
    <w:rPr>
      <w:sz w:val="20"/>
    </w:rPr>
  </w:style>
  <w:style w:type="paragraph" w:customStyle="1" w:styleId="Blockquote">
    <w:name w:val="Blockquote"/>
    <w:basedOn w:val="Normal"/>
    <w:next w:val="Normal"/>
    <w:rsid w:val="001656DD"/>
    <w:pPr>
      <w:pBdr>
        <w:top w:val="single" w:sz="2" w:space="1" w:color="C0C0C0"/>
        <w:left w:val="single" w:sz="2" w:space="4" w:color="C0C0C0"/>
        <w:bottom w:val="single" w:sz="2" w:space="1" w:color="C0C0C0"/>
        <w:right w:val="single" w:sz="2" w:space="4" w:color="C0C0C0"/>
      </w:pBdr>
      <w:shd w:val="clear" w:color="auto" w:fill="FFFFDD"/>
      <w:spacing w:before="120"/>
      <w:ind w:left="720"/>
    </w:pPr>
    <w:rPr>
      <w:rFonts w:ascii="Times New Roman" w:hAnsi="Times New Roman"/>
    </w:rPr>
  </w:style>
  <w:style w:type="paragraph" w:customStyle="1" w:styleId="Preformatted">
    <w:name w:val="Preformatted"/>
    <w:basedOn w:val="Normal"/>
    <w:next w:val="Normal"/>
    <w:rsid w:val="001656DD"/>
    <w:pPr>
      <w:pBdr>
        <w:top w:val="single" w:sz="2" w:space="1" w:color="auto"/>
        <w:left w:val="single" w:sz="2" w:space="4" w:color="auto"/>
        <w:bottom w:val="single" w:sz="2" w:space="1" w:color="auto"/>
        <w:right w:val="single" w:sz="2" w:space="4" w:color="auto"/>
      </w:pBdr>
      <w:shd w:val="clear" w:color="auto" w:fill="F3F3F3"/>
      <w:spacing w:after="0"/>
    </w:pPr>
    <w:rPr>
      <w:rFonts w:ascii="Courier New" w:hAnsi="Courier New"/>
      <w:color w:val="333333"/>
      <w:sz w:val="20"/>
    </w:rPr>
  </w:style>
  <w:style w:type="paragraph" w:customStyle="1" w:styleId="AbstractHeader">
    <w:name w:val="Abstract Header"/>
    <w:basedOn w:val="Heading2"/>
    <w:next w:val="Normal"/>
    <w:rsid w:val="001656DD"/>
    <w:rPr>
      <w:rFonts w:ascii="Times New Roman" w:hAnsi="Times New Roman"/>
    </w:rPr>
  </w:style>
  <w:style w:type="paragraph" w:customStyle="1" w:styleId="Boxnumberandcaption">
    <w:name w:val="Box number and caption"/>
    <w:basedOn w:val="Heading3"/>
    <w:next w:val="Normal"/>
    <w:rsid w:val="001656DD"/>
    <w:pPr>
      <w:shd w:val="clear" w:color="auto" w:fill="E6E6E6"/>
      <w:spacing w:before="120"/>
    </w:pPr>
    <w:rPr>
      <w:color w:val="666666"/>
      <w:sz w:val="24"/>
      <w:szCs w:val="28"/>
    </w:rPr>
  </w:style>
  <w:style w:type="paragraph" w:customStyle="1" w:styleId="Figurenumberandcaption">
    <w:name w:val="Figure number and caption"/>
    <w:basedOn w:val="Normal"/>
    <w:next w:val="Normal"/>
    <w:rsid w:val="001656DD"/>
    <w:pPr>
      <w:spacing w:before="120"/>
    </w:pPr>
    <w:rPr>
      <w:color w:val="000080"/>
    </w:rPr>
  </w:style>
  <w:style w:type="paragraph" w:customStyle="1" w:styleId="Tablenumberandcaption">
    <w:name w:val="Table number and caption"/>
    <w:basedOn w:val="Normal"/>
    <w:next w:val="Normal"/>
    <w:rsid w:val="001656DD"/>
    <w:pPr>
      <w:spacing w:before="120"/>
    </w:pPr>
    <w:rPr>
      <w:b/>
      <w:color w:val="006600"/>
    </w:rPr>
  </w:style>
  <w:style w:type="paragraph" w:customStyle="1" w:styleId="Tableheader">
    <w:name w:val="Table header"/>
    <w:basedOn w:val="Normal"/>
    <w:next w:val="Normal"/>
    <w:rsid w:val="001656DD"/>
    <w:pPr>
      <w:spacing w:after="0"/>
    </w:pPr>
    <w:rPr>
      <w:b/>
      <w:sz w:val="20"/>
    </w:rPr>
  </w:style>
  <w:style w:type="paragraph" w:customStyle="1" w:styleId="Tablebody">
    <w:name w:val="Table body"/>
    <w:basedOn w:val="Normal"/>
    <w:next w:val="Normal"/>
    <w:rsid w:val="001656DD"/>
    <w:pPr>
      <w:spacing w:after="0"/>
    </w:pPr>
    <w:rPr>
      <w:sz w:val="20"/>
    </w:rPr>
  </w:style>
  <w:style w:type="paragraph" w:customStyle="1" w:styleId="Tablefooter">
    <w:name w:val="Table footer"/>
    <w:basedOn w:val="Normal"/>
    <w:next w:val="Normal"/>
    <w:rsid w:val="001656DD"/>
    <w:pPr>
      <w:spacing w:after="0"/>
    </w:pPr>
    <w:rPr>
      <w:sz w:val="18"/>
    </w:rPr>
  </w:style>
  <w:style w:type="paragraph" w:customStyle="1" w:styleId="Alternateheading">
    <w:name w:val="Alternate heading"/>
    <w:basedOn w:val="Normal"/>
    <w:next w:val="Normal"/>
    <w:rsid w:val="001656DD"/>
    <w:rPr>
      <w:b/>
      <w:color w:val="800080"/>
    </w:rPr>
  </w:style>
  <w:style w:type="paragraph" w:styleId="Footer">
    <w:name w:val="footer"/>
    <w:basedOn w:val="Normal"/>
    <w:rsid w:val="001656DD"/>
    <w:pPr>
      <w:tabs>
        <w:tab w:val="center" w:pos="4320"/>
        <w:tab w:val="right" w:pos="8640"/>
      </w:tabs>
      <w:spacing w:after="0"/>
    </w:pPr>
    <w:rPr>
      <w:rFonts w:ascii="Times New Roman" w:eastAsia="SimSun" w:hAnsi="Times New Roman"/>
      <w:szCs w:val="24"/>
      <w:lang w:eastAsia="zh-CN"/>
    </w:rPr>
  </w:style>
  <w:style w:type="paragraph" w:customStyle="1" w:styleId="Boxsubhead">
    <w:name w:val="Box subhead"/>
    <w:basedOn w:val="Heading4"/>
    <w:next w:val="Normal"/>
    <w:rsid w:val="001656DD"/>
    <w:rPr>
      <w:color w:val="808080"/>
    </w:rPr>
  </w:style>
  <w:style w:type="paragraph" w:customStyle="1" w:styleId="Answer">
    <w:name w:val="Answer"/>
    <w:basedOn w:val="Normal"/>
    <w:next w:val="Normal"/>
    <w:rsid w:val="001656DD"/>
    <w:pPr>
      <w:pBdr>
        <w:top w:val="single" w:sz="4" w:space="1" w:color="FFFFFF"/>
        <w:left w:val="single" w:sz="4" w:space="4" w:color="FFFFFF"/>
        <w:bottom w:val="single" w:sz="4" w:space="1" w:color="FFFFFF"/>
        <w:right w:val="single" w:sz="4" w:space="4" w:color="FFFFFF"/>
      </w:pBdr>
      <w:shd w:val="clear" w:color="auto" w:fill="ECFEDA"/>
    </w:pPr>
    <w:rPr>
      <w:rFonts w:ascii="Times New Roman" w:hAnsi="Times New Roman"/>
      <w:color w:val="800000"/>
    </w:rPr>
  </w:style>
  <w:style w:type="paragraph" w:customStyle="1" w:styleId="Question">
    <w:name w:val="Question"/>
    <w:basedOn w:val="Normal"/>
    <w:next w:val="Normal"/>
    <w:rsid w:val="001656DD"/>
    <w:pPr>
      <w:pBdr>
        <w:top w:val="single" w:sz="4" w:space="1" w:color="FFFFFF"/>
        <w:left w:val="single" w:sz="4" w:space="4" w:color="FFFFFF"/>
        <w:bottom w:val="single" w:sz="4" w:space="1" w:color="FFFFFF"/>
        <w:right w:val="single" w:sz="4" w:space="4" w:color="FFFFFF"/>
      </w:pBdr>
      <w:shd w:val="clear" w:color="auto" w:fill="E9E6EE"/>
    </w:pPr>
    <w:rPr>
      <w:rFonts w:ascii="Verdana" w:hAnsi="Verdana"/>
      <w:color w:val="333399"/>
    </w:rPr>
  </w:style>
  <w:style w:type="character" w:customStyle="1" w:styleId="nc-highlight">
    <w:name w:val="nc-highlight"/>
    <w:rsid w:val="001656DD"/>
    <w:rPr>
      <w:bdr w:val="none" w:sz="0" w:space="0" w:color="auto"/>
      <w:shd w:val="clear" w:color="auto" w:fill="FFFF93"/>
    </w:rPr>
  </w:style>
  <w:style w:type="character" w:customStyle="1" w:styleId="nc-pageobject">
    <w:name w:val="nc-pageobject"/>
    <w:rsid w:val="00F65D6F"/>
    <w:rPr>
      <w:color w:val="993366"/>
      <w:bdr w:val="none" w:sz="0" w:space="0" w:color="auto"/>
      <w:shd w:val="clear" w:color="auto" w:fill="FFF0E1"/>
    </w:rPr>
  </w:style>
  <w:style w:type="character" w:customStyle="1" w:styleId="LabelorNumber">
    <w:name w:val="Label or Number"/>
    <w:rsid w:val="001656DD"/>
    <w:rPr>
      <w:rFonts w:ascii="Arial" w:hAnsi="Arial"/>
      <w:color w:val="auto"/>
      <w:sz w:val="22"/>
      <w:bdr w:val="none" w:sz="0" w:space="0" w:color="auto"/>
      <w:shd w:val="clear" w:color="auto" w:fill="33CCCC"/>
    </w:rPr>
  </w:style>
  <w:style w:type="paragraph" w:styleId="DocumentMap">
    <w:name w:val="Document Map"/>
    <w:basedOn w:val="Normal"/>
    <w:rsid w:val="001656DD"/>
    <w:pPr>
      <w:shd w:val="clear" w:color="auto" w:fill="000080"/>
    </w:pPr>
    <w:rPr>
      <w:rFonts w:ascii="Tahoma" w:hAnsi="Tahoma" w:cs="Tahoma"/>
      <w:sz w:val="20"/>
    </w:rPr>
  </w:style>
  <w:style w:type="paragraph" w:customStyle="1" w:styleId="Processinginstruction">
    <w:name w:val="Processing instruction"/>
    <w:basedOn w:val="Normal"/>
    <w:next w:val="Normal"/>
    <w:rsid w:val="001656DD"/>
    <w:pPr>
      <w:shd w:val="clear" w:color="auto" w:fill="D6FF61"/>
    </w:pPr>
    <w:rPr>
      <w:rFonts w:ascii="Courier New" w:hAnsi="Courier New"/>
      <w:color w:val="000080"/>
    </w:rPr>
  </w:style>
  <w:style w:type="paragraph" w:customStyle="1" w:styleId="Equation">
    <w:name w:val="Equation"/>
    <w:basedOn w:val="Normal"/>
    <w:rsid w:val="001656DD"/>
    <w:pPr>
      <w:jc w:val="center"/>
    </w:pPr>
    <w:rPr>
      <w:rFonts w:eastAsia="Times New Roman"/>
      <w:color w:val="333398"/>
    </w:rPr>
  </w:style>
  <w:style w:type="paragraph" w:customStyle="1" w:styleId="Figuregraphic">
    <w:name w:val="Figure graphic"/>
    <w:basedOn w:val="Normal"/>
    <w:rsid w:val="001656DD"/>
    <w:pPr>
      <w:autoSpaceDE w:val="0"/>
      <w:autoSpaceDN w:val="0"/>
      <w:adjustRightInd w:val="0"/>
    </w:pPr>
    <w:rPr>
      <w:rFonts w:eastAsia="Times New Roman"/>
      <w:szCs w:val="24"/>
    </w:rPr>
  </w:style>
  <w:style w:type="paragraph" w:customStyle="1" w:styleId="Keywords">
    <w:name w:val="Keywords"/>
    <w:basedOn w:val="Normal"/>
    <w:rsid w:val="001656DD"/>
    <w:rPr>
      <w:rFonts w:eastAsia="Times New Roman"/>
      <w:color w:val="000080"/>
    </w:rPr>
  </w:style>
  <w:style w:type="character" w:customStyle="1" w:styleId="Processinginstructionchar">
    <w:name w:val="Processing instruction char"/>
    <w:rsid w:val="001656DD"/>
    <w:rPr>
      <w:rFonts w:ascii="Courier New" w:hAnsi="Courier New"/>
      <w:sz w:val="18"/>
      <w:bdr w:val="none" w:sz="0" w:space="0" w:color="auto"/>
      <w:shd w:val="clear" w:color="auto" w:fill="D99594"/>
    </w:rPr>
  </w:style>
  <w:style w:type="character" w:customStyle="1" w:styleId="nc-highlight-1">
    <w:name w:val="nc-highlight-1"/>
    <w:rsid w:val="001656DD"/>
    <w:rPr>
      <w:rFonts w:ascii="Arial" w:hAnsi="Arial"/>
      <w:color w:val="FFFFFF"/>
      <w:sz w:val="24"/>
      <w:bdr w:val="none" w:sz="0" w:space="0" w:color="auto"/>
      <w:shd w:val="solid" w:color="0070C0" w:fill="0070C0"/>
    </w:rPr>
  </w:style>
  <w:style w:type="paragraph" w:styleId="Subtitle">
    <w:name w:val="Subtitle"/>
    <w:basedOn w:val="Normal"/>
    <w:link w:val="SubtitleChar"/>
    <w:qFormat/>
    <w:rsid w:val="001656DD"/>
    <w:pPr>
      <w:keepNext/>
      <w:spacing w:before="240" w:after="60" w:line="480" w:lineRule="auto"/>
      <w:outlineLvl w:val="1"/>
    </w:pPr>
    <w:rPr>
      <w:rFonts w:eastAsia="Times New Roman" w:cs="Arial"/>
      <w:b/>
      <w:kern w:val="28"/>
      <w:szCs w:val="24"/>
      <w:u w:val="single"/>
    </w:rPr>
  </w:style>
  <w:style w:type="character" w:customStyle="1" w:styleId="SubtitleChar">
    <w:name w:val="Subtitle Char"/>
    <w:link w:val="Subtitle"/>
    <w:rsid w:val="001656DD"/>
    <w:rPr>
      <w:rFonts w:asciiTheme="minorHAnsi" w:hAnsiTheme="minorHAnsi" w:cs="Arial"/>
      <w:b/>
      <w:kern w:val="28"/>
      <w:sz w:val="22"/>
      <w:szCs w:val="24"/>
      <w:u w:val="single"/>
    </w:rPr>
  </w:style>
  <w:style w:type="paragraph" w:customStyle="1" w:styleId="Abstract">
    <w:name w:val="Abstract"/>
    <w:basedOn w:val="Normal"/>
    <w:next w:val="Normal"/>
    <w:rsid w:val="001656DD"/>
    <w:pPr>
      <w:spacing w:before="120" w:after="0"/>
    </w:pPr>
    <w:rPr>
      <w:rFonts w:ascii="Times New Roman" w:eastAsia="Times New Roman" w:hAnsi="Times New Roman"/>
      <w:sz w:val="20"/>
    </w:rPr>
  </w:style>
  <w:style w:type="paragraph" w:customStyle="1" w:styleId="Boxcontent">
    <w:name w:val="Boxcontent"/>
    <w:basedOn w:val="Normal"/>
    <w:rsid w:val="001656DD"/>
    <w:rPr>
      <w:rFonts w:eastAsia="Times New Roman"/>
    </w:rPr>
  </w:style>
  <w:style w:type="character" w:customStyle="1" w:styleId="nc-highlight-2">
    <w:name w:val="nc-highlight-2"/>
    <w:rsid w:val="001656DD"/>
    <w:rPr>
      <w:rFonts w:ascii="Arial" w:hAnsi="Arial"/>
      <w:color w:val="FFFFFF"/>
      <w:bdr w:val="none" w:sz="0" w:space="0" w:color="auto"/>
      <w:shd w:val="solid" w:color="663300" w:fill="663300"/>
    </w:rPr>
  </w:style>
  <w:style w:type="paragraph" w:customStyle="1" w:styleId="Structuredabstractheading">
    <w:name w:val="Structured abstract heading"/>
    <w:basedOn w:val="Normal"/>
    <w:next w:val="Normal"/>
    <w:rsid w:val="001656DD"/>
    <w:pPr>
      <w:keepNext/>
      <w:spacing w:before="240" w:after="60" w:line="480" w:lineRule="auto"/>
      <w:outlineLvl w:val="2"/>
    </w:pPr>
    <w:rPr>
      <w:rFonts w:eastAsia="Times New Roman"/>
      <w:b/>
      <w:kern w:val="28"/>
      <w:sz w:val="26"/>
      <w:szCs w:val="24"/>
    </w:rPr>
  </w:style>
  <w:style w:type="character" w:customStyle="1" w:styleId="nc-highlight-3">
    <w:name w:val="nc-highlight-3"/>
    <w:rsid w:val="001656DD"/>
    <w:rPr>
      <w:rFonts w:ascii="Arial" w:hAnsi="Arial"/>
      <w:color w:val="FFFFFF"/>
      <w:sz w:val="24"/>
      <w:bdr w:val="none" w:sz="0" w:space="0" w:color="auto"/>
      <w:shd w:val="solid" w:color="A6A6A6" w:fill="A6A6A6"/>
    </w:rPr>
  </w:style>
  <w:style w:type="character" w:customStyle="1" w:styleId="nc-highlight-4">
    <w:name w:val="nc-highlight-4"/>
    <w:rsid w:val="001656DD"/>
    <w:rPr>
      <w:rFonts w:ascii="Arial" w:hAnsi="Arial"/>
      <w:color w:val="FFFFFF"/>
      <w:sz w:val="24"/>
      <w:bdr w:val="none" w:sz="0" w:space="0" w:color="auto"/>
      <w:shd w:val="solid" w:color="CC9900" w:fill="CC9900"/>
    </w:rPr>
  </w:style>
  <w:style w:type="character" w:customStyle="1" w:styleId="nc-highlight-5">
    <w:name w:val="nc-highlight-5"/>
    <w:rsid w:val="001656DD"/>
    <w:rPr>
      <w:rFonts w:ascii="Arial" w:hAnsi="Arial"/>
      <w:color w:val="FFFFFF"/>
      <w:sz w:val="24"/>
      <w:bdr w:val="none" w:sz="0" w:space="0" w:color="auto"/>
      <w:shd w:val="solid" w:color="000000" w:fill="000000"/>
    </w:rPr>
  </w:style>
  <w:style w:type="paragraph" w:customStyle="1" w:styleId="Listcontinued">
    <w:name w:val="List continued"/>
    <w:basedOn w:val="List"/>
    <w:rsid w:val="006F1C99"/>
    <w:pPr>
      <w:ind w:left="907" w:firstLine="0"/>
      <w:contextualSpacing w:val="0"/>
    </w:pPr>
    <w:rPr>
      <w:rFonts w:eastAsia="Times New Roman"/>
    </w:rPr>
  </w:style>
  <w:style w:type="paragraph" w:styleId="List">
    <w:name w:val="List"/>
    <w:basedOn w:val="Normal"/>
    <w:rsid w:val="001656DD"/>
    <w:pPr>
      <w:ind w:left="360" w:hanging="360"/>
      <w:contextualSpacing/>
    </w:pPr>
  </w:style>
  <w:style w:type="paragraph" w:customStyle="1" w:styleId="FiguresTablesBoxesSectionHeading">
    <w:name w:val="Figures Tables Boxes Section Heading"/>
    <w:basedOn w:val="Heading2"/>
    <w:next w:val="Normal"/>
    <w:rsid w:val="001656DD"/>
    <w:rPr>
      <w:rFonts w:ascii="Verdana" w:hAnsi="Verdana"/>
      <w:color w:val="A50021"/>
      <w:sz w:val="24"/>
    </w:rPr>
  </w:style>
  <w:style w:type="paragraph" w:customStyle="1" w:styleId="Glossarydefinition">
    <w:name w:val="Glossary definition"/>
    <w:basedOn w:val="Normal"/>
    <w:rsid w:val="001656DD"/>
    <w:pPr>
      <w:shd w:val="clear" w:color="auto" w:fill="FDE4BF"/>
    </w:pPr>
    <w:rPr>
      <w:color w:val="0033CC"/>
    </w:rPr>
  </w:style>
  <w:style w:type="paragraph" w:customStyle="1" w:styleId="Glossaryterm">
    <w:name w:val="Glossary term"/>
    <w:basedOn w:val="Normal"/>
    <w:next w:val="Glossarydefinition"/>
    <w:rsid w:val="001656DD"/>
    <w:pPr>
      <w:shd w:val="clear" w:color="auto" w:fill="CCFFFF"/>
    </w:pPr>
    <w:rPr>
      <w:b/>
    </w:rPr>
  </w:style>
  <w:style w:type="character" w:customStyle="1" w:styleId="monospace">
    <w:name w:val="monospace"/>
    <w:rsid w:val="001656DD"/>
    <w:rPr>
      <w:rFonts w:ascii="Courier New" w:hAnsi="Courier New"/>
      <w:color w:val="auto"/>
      <w:sz w:val="20"/>
      <w:bdr w:val="none" w:sz="0" w:space="0" w:color="auto"/>
      <w:shd w:val="clear" w:color="auto" w:fill="D9D9D9"/>
    </w:rPr>
  </w:style>
  <w:style w:type="paragraph" w:customStyle="1" w:styleId="Bulletedlist1">
    <w:name w:val="Bulletedlist1"/>
    <w:basedOn w:val="Normal"/>
    <w:rsid w:val="001656DD"/>
    <w:pPr>
      <w:numPr>
        <w:numId w:val="12"/>
      </w:numPr>
    </w:pPr>
    <w:rPr>
      <w:rFonts w:eastAsia="Times New Roman"/>
    </w:rPr>
  </w:style>
  <w:style w:type="paragraph" w:customStyle="1" w:styleId="Bulletedlist2">
    <w:name w:val="Bulletedlist2"/>
    <w:basedOn w:val="Bulletedlist1"/>
    <w:rsid w:val="001656DD"/>
    <w:pPr>
      <w:numPr>
        <w:ilvl w:val="1"/>
      </w:numPr>
    </w:pPr>
  </w:style>
  <w:style w:type="paragraph" w:customStyle="1" w:styleId="Bulletedlist3">
    <w:name w:val="Bulletedlist3"/>
    <w:basedOn w:val="Bulletedlist2"/>
    <w:rsid w:val="001656DD"/>
    <w:pPr>
      <w:numPr>
        <w:ilvl w:val="2"/>
      </w:numPr>
    </w:pPr>
  </w:style>
  <w:style w:type="paragraph" w:customStyle="1" w:styleId="Bulletedlist4">
    <w:name w:val="Bulletedlist4"/>
    <w:basedOn w:val="Bulletedlist3"/>
    <w:rsid w:val="001656DD"/>
    <w:pPr>
      <w:numPr>
        <w:ilvl w:val="3"/>
      </w:numPr>
    </w:pPr>
  </w:style>
  <w:style w:type="paragraph" w:customStyle="1" w:styleId="Bulletedlist5">
    <w:name w:val="Bulletedlist5"/>
    <w:basedOn w:val="Bulletedlist4"/>
    <w:rsid w:val="001656DD"/>
    <w:pPr>
      <w:numPr>
        <w:ilvl w:val="4"/>
      </w:numPr>
    </w:pPr>
  </w:style>
  <w:style w:type="paragraph" w:customStyle="1" w:styleId="Figurecopyrightstatement">
    <w:name w:val="Figure copyright statement"/>
    <w:basedOn w:val="Normal"/>
    <w:rsid w:val="001656DD"/>
    <w:rPr>
      <w:rFonts w:ascii="Times New Roman" w:eastAsia="Times New Roman" w:hAnsi="Times New Roman"/>
      <w:b/>
      <w:color w:val="943634"/>
      <w:sz w:val="20"/>
    </w:rPr>
  </w:style>
  <w:style w:type="paragraph" w:customStyle="1" w:styleId="Figurelicensestatement">
    <w:name w:val="Figure license statement"/>
    <w:basedOn w:val="Normal"/>
    <w:rsid w:val="001656DD"/>
    <w:rPr>
      <w:rFonts w:ascii="Times New Roman" w:eastAsia="Times New Roman" w:hAnsi="Times New Roman"/>
      <w:b/>
      <w:color w:val="76923C"/>
      <w:sz w:val="20"/>
    </w:rPr>
  </w:style>
  <w:style w:type="paragraph" w:customStyle="1" w:styleId="Listcontinued2">
    <w:name w:val="List continued2"/>
    <w:basedOn w:val="Normal"/>
    <w:rsid w:val="006F1C99"/>
    <w:pPr>
      <w:autoSpaceDE w:val="0"/>
      <w:autoSpaceDN w:val="0"/>
      <w:adjustRightInd w:val="0"/>
      <w:ind w:left="1440"/>
    </w:pPr>
    <w:rPr>
      <w:rFonts w:eastAsia="Times New Roman"/>
      <w:szCs w:val="24"/>
    </w:rPr>
  </w:style>
  <w:style w:type="paragraph" w:customStyle="1" w:styleId="Listcontinued3">
    <w:name w:val="List continued3"/>
    <w:basedOn w:val="Normal"/>
    <w:rsid w:val="006F1C99"/>
    <w:pPr>
      <w:autoSpaceDE w:val="0"/>
      <w:autoSpaceDN w:val="0"/>
      <w:adjustRightInd w:val="0"/>
      <w:ind w:left="2160"/>
    </w:pPr>
    <w:rPr>
      <w:rFonts w:eastAsia="Times New Roman"/>
      <w:szCs w:val="24"/>
    </w:rPr>
  </w:style>
  <w:style w:type="paragraph" w:customStyle="1" w:styleId="Listcontinued4">
    <w:name w:val="List continued4"/>
    <w:basedOn w:val="Normal"/>
    <w:rsid w:val="006F1C99"/>
    <w:pPr>
      <w:autoSpaceDE w:val="0"/>
      <w:autoSpaceDN w:val="0"/>
      <w:adjustRightInd w:val="0"/>
      <w:ind w:left="2880"/>
    </w:pPr>
    <w:rPr>
      <w:rFonts w:eastAsia="Times New Roman"/>
      <w:szCs w:val="24"/>
    </w:rPr>
  </w:style>
  <w:style w:type="paragraph" w:customStyle="1" w:styleId="Listcontinued5">
    <w:name w:val="List continued5"/>
    <w:basedOn w:val="Normal"/>
    <w:rsid w:val="006F1C99"/>
    <w:pPr>
      <w:autoSpaceDE w:val="0"/>
      <w:autoSpaceDN w:val="0"/>
      <w:adjustRightInd w:val="0"/>
      <w:ind w:left="3600"/>
    </w:pPr>
    <w:rPr>
      <w:rFonts w:eastAsia="Times New Roman"/>
      <w:szCs w:val="24"/>
    </w:rPr>
  </w:style>
  <w:style w:type="paragraph" w:customStyle="1" w:styleId="Numberedlist1">
    <w:name w:val="Numberedlist1"/>
    <w:basedOn w:val="Normal"/>
    <w:rsid w:val="00C51B91"/>
    <w:pPr>
      <w:ind w:left="714" w:hanging="357"/>
    </w:pPr>
    <w:rPr>
      <w:rFonts w:eastAsia="Times New Roman"/>
    </w:rPr>
  </w:style>
  <w:style w:type="paragraph" w:customStyle="1" w:styleId="Numberedlist2">
    <w:name w:val="Numberedlist2"/>
    <w:basedOn w:val="Normal"/>
    <w:rsid w:val="00C51B91"/>
    <w:pPr>
      <w:ind w:left="1077" w:hanging="357"/>
    </w:pPr>
    <w:rPr>
      <w:rFonts w:eastAsia="Times New Roman"/>
    </w:rPr>
  </w:style>
  <w:style w:type="paragraph" w:customStyle="1" w:styleId="Numberedlist3">
    <w:name w:val="Numberedlist3"/>
    <w:basedOn w:val="Normal"/>
    <w:rsid w:val="00C51B91"/>
    <w:pPr>
      <w:ind w:left="1434" w:hanging="357"/>
    </w:pPr>
    <w:rPr>
      <w:rFonts w:eastAsia="Times New Roman"/>
    </w:rPr>
  </w:style>
  <w:style w:type="paragraph" w:customStyle="1" w:styleId="Numberedlist4">
    <w:name w:val="Numberedlist4"/>
    <w:basedOn w:val="Normal"/>
    <w:rsid w:val="00C51B91"/>
    <w:pPr>
      <w:ind w:left="1797" w:hanging="357"/>
    </w:pPr>
    <w:rPr>
      <w:rFonts w:eastAsia="Times New Roman"/>
    </w:rPr>
  </w:style>
  <w:style w:type="paragraph" w:customStyle="1" w:styleId="Numberedlist5">
    <w:name w:val="Numberedlist5"/>
    <w:basedOn w:val="Normal"/>
    <w:rsid w:val="00C51B91"/>
    <w:pPr>
      <w:ind w:left="2154" w:hanging="357"/>
    </w:pPr>
    <w:rPr>
      <w:rFonts w:eastAsia="Times New Roman"/>
    </w:rPr>
  </w:style>
  <w:style w:type="paragraph" w:customStyle="1" w:styleId="Tablecopyrightstatement">
    <w:name w:val="Table copyright statement"/>
    <w:basedOn w:val="Normal"/>
    <w:rsid w:val="001656DD"/>
    <w:rPr>
      <w:rFonts w:ascii="Times New Roman" w:eastAsia="Times New Roman" w:hAnsi="Times New Roman"/>
      <w:b/>
      <w:color w:val="943634"/>
      <w:sz w:val="20"/>
    </w:rPr>
  </w:style>
  <w:style w:type="paragraph" w:customStyle="1" w:styleId="Tablelicensestatement">
    <w:name w:val="Table license statement"/>
    <w:basedOn w:val="Normal"/>
    <w:rsid w:val="001656DD"/>
    <w:rPr>
      <w:rFonts w:ascii="Times New Roman" w:eastAsia="Times New Roman" w:hAnsi="Times New Roman"/>
      <w:b/>
      <w:color w:val="76923C"/>
      <w:sz w:val="20"/>
    </w:rPr>
  </w:style>
  <w:style w:type="paragraph" w:customStyle="1" w:styleId="Runninglefthead">
    <w:name w:val="Running left head"/>
    <w:basedOn w:val="Normal"/>
    <w:next w:val="Normal"/>
    <w:rsid w:val="001656DD"/>
    <w:pPr>
      <w:autoSpaceDE w:val="0"/>
      <w:autoSpaceDN w:val="0"/>
      <w:adjustRightInd w:val="0"/>
    </w:pPr>
    <w:rPr>
      <w:rFonts w:eastAsia="Times New Roman"/>
      <w:szCs w:val="24"/>
    </w:rPr>
  </w:style>
  <w:style w:type="paragraph" w:customStyle="1" w:styleId="VideoInformation">
    <w:name w:val="Video Information"/>
    <w:basedOn w:val="Normal"/>
    <w:rsid w:val="001656DD"/>
    <w:pPr>
      <w:shd w:val="clear" w:color="auto" w:fill="FFCCFF"/>
    </w:pPr>
    <w:rPr>
      <w:rFonts w:eastAsia="Times New Roman"/>
      <w:sz w:val="20"/>
    </w:rPr>
  </w:style>
  <w:style w:type="paragraph" w:customStyle="1" w:styleId="Figurealttext">
    <w:name w:val="Figure alt text"/>
    <w:basedOn w:val="Normal"/>
    <w:rsid w:val="001656DD"/>
    <w:pPr>
      <w:shd w:val="clear" w:color="auto" w:fill="C4BC96"/>
    </w:pPr>
    <w:rPr>
      <w:rFonts w:ascii="Courier New" w:eastAsia="Times New Roman" w:hAnsi="Courier New"/>
    </w:rPr>
  </w:style>
  <w:style w:type="paragraph" w:customStyle="1" w:styleId="Figurecaptioncontinued">
    <w:name w:val="Figure caption continued"/>
    <w:basedOn w:val="Normal"/>
    <w:rsid w:val="001656DD"/>
    <w:rPr>
      <w:rFonts w:eastAsia="Times New Roman"/>
      <w:color w:val="000080"/>
      <w:lang w:val="en-GB"/>
    </w:rPr>
  </w:style>
  <w:style w:type="character" w:styleId="Hyperlink">
    <w:name w:val="Hyperlink"/>
    <w:rsid w:val="001656DD"/>
    <w:rPr>
      <w:color w:val="0000FF"/>
      <w:u w:val="single"/>
    </w:rPr>
  </w:style>
  <w:style w:type="character" w:customStyle="1" w:styleId="apple-converted-space">
    <w:name w:val="apple-converted-space"/>
    <w:basedOn w:val="DefaultParagraphFont"/>
    <w:rsid w:val="00DA321E"/>
  </w:style>
  <w:style w:type="character" w:customStyle="1" w:styleId="bkpgobj">
    <w:name w:val="bk_pgobj"/>
    <w:basedOn w:val="DefaultParagraphFont"/>
    <w:rsid w:val="00DA321E"/>
  </w:style>
  <w:style w:type="paragraph" w:styleId="ListParagraph">
    <w:name w:val="List Paragraph"/>
    <w:basedOn w:val="Normal"/>
    <w:qFormat/>
    <w:rsid w:val="001656DD"/>
    <w:pPr>
      <w:ind w:left="720"/>
      <w:contextualSpacing/>
    </w:pPr>
  </w:style>
  <w:style w:type="paragraph" w:styleId="NormalWeb">
    <w:name w:val="Normal (Web)"/>
    <w:basedOn w:val="Normal"/>
    <w:uiPriority w:val="99"/>
    <w:unhideWhenUsed/>
    <w:rsid w:val="00DA321E"/>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nhideWhenUsed/>
    <w:rsid w:val="00DD6D70"/>
    <w:pPr>
      <w:spacing w:after="0"/>
    </w:pPr>
    <w:rPr>
      <w:rFonts w:ascii="Times New Roman" w:hAnsi="Times New Roman"/>
      <w:sz w:val="18"/>
      <w:szCs w:val="18"/>
    </w:rPr>
  </w:style>
  <w:style w:type="character" w:customStyle="1" w:styleId="BalloonTextChar">
    <w:name w:val="Balloon Text Char"/>
    <w:basedOn w:val="DefaultParagraphFont"/>
    <w:link w:val="BalloonText"/>
    <w:rsid w:val="00DD6D70"/>
    <w:rPr>
      <w:rFonts w:eastAsia="Times"/>
      <w:sz w:val="18"/>
      <w:szCs w:val="18"/>
    </w:rPr>
  </w:style>
  <w:style w:type="paragraph" w:styleId="ListNumber">
    <w:name w:val="List Number"/>
    <w:basedOn w:val="Normal"/>
    <w:rsid w:val="005F7918"/>
    <w:pPr>
      <w:numPr>
        <w:numId w:val="6"/>
      </w:numPr>
      <w:contextualSpacing/>
    </w:pPr>
  </w:style>
  <w:style w:type="paragraph" w:styleId="ListNumber2">
    <w:name w:val="List Number 2"/>
    <w:basedOn w:val="Normal"/>
    <w:unhideWhenUsed/>
    <w:rsid w:val="005F7918"/>
    <w:pPr>
      <w:numPr>
        <w:numId w:val="7"/>
      </w:numPr>
      <w:contextualSpacing/>
    </w:pPr>
  </w:style>
  <w:style w:type="paragraph" w:styleId="ListNumber3">
    <w:name w:val="List Number 3"/>
    <w:basedOn w:val="Normal"/>
    <w:unhideWhenUsed/>
    <w:rsid w:val="005F7918"/>
    <w:pPr>
      <w:numPr>
        <w:numId w:val="8"/>
      </w:numPr>
      <w:contextualSpacing/>
    </w:pPr>
  </w:style>
  <w:style w:type="paragraph" w:styleId="ListNumber4">
    <w:name w:val="List Number 4"/>
    <w:basedOn w:val="Normal"/>
    <w:unhideWhenUsed/>
    <w:rsid w:val="005F7918"/>
    <w:pPr>
      <w:numPr>
        <w:numId w:val="9"/>
      </w:numPr>
      <w:contextualSpacing/>
    </w:pPr>
  </w:style>
  <w:style w:type="paragraph" w:styleId="ListNumber5">
    <w:name w:val="List Number 5"/>
    <w:basedOn w:val="Normal"/>
    <w:unhideWhenUsed/>
    <w:rsid w:val="005F7918"/>
    <w:pPr>
      <w:numPr>
        <w:numId w:val="10"/>
      </w:numPr>
      <w:contextualSpacing/>
    </w:pPr>
  </w:style>
  <w:style w:type="paragraph" w:styleId="ListBullet2">
    <w:name w:val="List Bullet 2"/>
    <w:basedOn w:val="Normal"/>
    <w:unhideWhenUsed/>
    <w:rsid w:val="0064119C"/>
    <w:pPr>
      <w:numPr>
        <w:numId w:val="2"/>
      </w:numPr>
      <w:contextualSpacing/>
    </w:pPr>
  </w:style>
  <w:style w:type="paragraph" w:styleId="ListBullet3">
    <w:name w:val="List Bullet 3"/>
    <w:basedOn w:val="Normal"/>
    <w:unhideWhenUsed/>
    <w:rsid w:val="0064119C"/>
    <w:pPr>
      <w:numPr>
        <w:numId w:val="3"/>
      </w:numPr>
      <w:contextualSpacing/>
    </w:pPr>
  </w:style>
  <w:style w:type="paragraph" w:styleId="ListBullet4">
    <w:name w:val="List Bullet 4"/>
    <w:basedOn w:val="Normal"/>
    <w:unhideWhenUsed/>
    <w:rsid w:val="0064119C"/>
    <w:pPr>
      <w:numPr>
        <w:numId w:val="4"/>
      </w:numPr>
      <w:contextualSpacing/>
    </w:pPr>
  </w:style>
  <w:style w:type="paragraph" w:styleId="ListBullet5">
    <w:name w:val="List Bullet 5"/>
    <w:basedOn w:val="Normal"/>
    <w:unhideWhenUsed/>
    <w:rsid w:val="0064119C"/>
    <w:pPr>
      <w:numPr>
        <w:numId w:val="5"/>
      </w:numPr>
      <w:contextualSpacing/>
    </w:pPr>
  </w:style>
  <w:style w:type="paragraph" w:styleId="ListBullet">
    <w:name w:val="List Bullet"/>
    <w:basedOn w:val="Normal"/>
    <w:unhideWhenUsed/>
    <w:rsid w:val="0064119C"/>
    <w:pPr>
      <w:numPr>
        <w:numId w:val="1"/>
      </w:numPr>
      <w:contextualSpacing/>
    </w:pPr>
  </w:style>
  <w:style w:type="character" w:customStyle="1" w:styleId="Heading3Char">
    <w:name w:val="Heading 3 Char"/>
    <w:link w:val="Heading3"/>
    <w:rsid w:val="001656DD"/>
    <w:rPr>
      <w:rFonts w:asciiTheme="minorHAnsi" w:eastAsiaTheme="minorHAnsi" w:hAnsiTheme="minorHAnsi" w:cstheme="minorBidi"/>
      <w:b/>
      <w:sz w:val="26"/>
      <w:szCs w:val="22"/>
    </w:rPr>
  </w:style>
  <w:style w:type="character" w:styleId="LineNumber">
    <w:name w:val="line number"/>
    <w:basedOn w:val="DefaultParagraphFont"/>
    <w:semiHidden/>
    <w:unhideWhenUsed/>
    <w:rsid w:val="0021165D"/>
  </w:style>
  <w:style w:type="paragraph" w:customStyle="1" w:styleId="Reference-annotation">
    <w:name w:val="Reference-annotation"/>
    <w:basedOn w:val="Normal"/>
    <w:rsid w:val="001656DD"/>
    <w:rPr>
      <w:rFonts w:eastAsia="Times New Roman"/>
      <w:sz w:val="20"/>
      <w:szCs w:val="24"/>
    </w:rPr>
  </w:style>
  <w:style w:type="paragraph" w:customStyle="1" w:styleId="Suggestedreading">
    <w:name w:val="Suggested reading"/>
    <w:basedOn w:val="Reference"/>
    <w:rsid w:val="001656DD"/>
    <w:pPr>
      <w:autoSpaceDE w:val="0"/>
      <w:autoSpaceDN w:val="0"/>
      <w:adjustRightInd w:val="0"/>
    </w:pPr>
    <w:rPr>
      <w:rFonts w:eastAsia="Times New Roman"/>
      <w:szCs w:val="24"/>
    </w:rPr>
  </w:style>
  <w:style w:type="paragraph" w:customStyle="1" w:styleId="Tablerowhead">
    <w:name w:val="Table rowhead"/>
    <w:basedOn w:val="Normal"/>
    <w:rsid w:val="001656DD"/>
    <w:pPr>
      <w:spacing w:after="0"/>
    </w:pPr>
    <w:rPr>
      <w:rFonts w:eastAsia="Times New Roman"/>
      <w:b/>
      <w:sz w:val="20"/>
      <w:szCs w:val="24"/>
    </w:rPr>
  </w:style>
  <w:style w:type="paragraph" w:customStyle="1" w:styleId="Figuretitle">
    <w:name w:val="Figure title"/>
    <w:basedOn w:val="Normal"/>
    <w:next w:val="Normal"/>
    <w:rsid w:val="001656DD"/>
    <w:pPr>
      <w:spacing w:before="120"/>
    </w:pPr>
    <w:rPr>
      <w:rFonts w:eastAsia="Times New Roman"/>
      <w:b/>
      <w:color w:val="000080"/>
      <w:lang w:val="en-GB"/>
    </w:rPr>
  </w:style>
  <w:style w:type="character" w:customStyle="1" w:styleId="Heading1Char">
    <w:name w:val="Heading 1 Char"/>
    <w:link w:val="Heading1"/>
    <w:rsid w:val="001656DD"/>
    <w:rPr>
      <w:rFonts w:asciiTheme="minorHAnsi" w:eastAsiaTheme="minorHAnsi" w:hAnsiTheme="minorHAnsi" w:cstheme="minorBidi"/>
      <w:b/>
      <w:color w:val="9E0000"/>
      <w:sz w:val="32"/>
      <w:szCs w:val="22"/>
    </w:rPr>
  </w:style>
  <w:style w:type="character" w:customStyle="1" w:styleId="Heading2Char">
    <w:name w:val="Heading 2 Char"/>
    <w:link w:val="Heading2"/>
    <w:rsid w:val="001656DD"/>
    <w:rPr>
      <w:rFonts w:asciiTheme="minorHAnsi" w:eastAsiaTheme="minorHAnsi" w:hAnsiTheme="minorHAnsi" w:cstheme="minorBidi"/>
      <w:b/>
      <w:color w:val="5F5F5F"/>
      <w:sz w:val="28"/>
      <w:szCs w:val="22"/>
    </w:rPr>
  </w:style>
  <w:style w:type="character" w:customStyle="1" w:styleId="Heading4Char">
    <w:name w:val="Heading 4 Char"/>
    <w:link w:val="Heading4"/>
    <w:rsid w:val="001656DD"/>
    <w:rPr>
      <w:rFonts w:asciiTheme="minorHAnsi" w:hAnsiTheme="minorHAnsi" w:cstheme="minorBidi"/>
      <w:b/>
      <w:sz w:val="22"/>
      <w:szCs w:val="22"/>
    </w:rPr>
  </w:style>
  <w:style w:type="paragraph" w:styleId="BlockText">
    <w:name w:val="Block Text"/>
    <w:basedOn w:val="Normal"/>
    <w:rsid w:val="001656DD"/>
    <w:pPr>
      <w:spacing w:after="0"/>
      <w:ind w:left="960" w:right="-502" w:hanging="940"/>
      <w:jc w:val="both"/>
    </w:pPr>
    <w:rPr>
      <w:rFonts w:ascii="Times New Roman" w:eastAsia="Times New Roman" w:hAnsi="Times New Roman"/>
      <w:lang w:eastAsia="it-IT"/>
    </w:rPr>
  </w:style>
  <w:style w:type="character" w:customStyle="1" w:styleId="UnresolvedMention1">
    <w:name w:val="Unresolved Mention1"/>
    <w:rsid w:val="001656DD"/>
    <w:rPr>
      <w:color w:val="605E5C"/>
      <w:shd w:val="clear" w:color="auto" w:fill="E1DFDD"/>
    </w:rPr>
  </w:style>
  <w:style w:type="character" w:styleId="FollowedHyperlink">
    <w:name w:val="FollowedHyperlink"/>
    <w:rsid w:val="001656DD"/>
    <w:rPr>
      <w:color w:val="800080"/>
      <w:u w:val="single"/>
    </w:rPr>
  </w:style>
  <w:style w:type="character" w:customStyle="1" w:styleId="invisible">
    <w:name w:val="invisible"/>
    <w:rsid w:val="001656DD"/>
    <w:rPr>
      <w:color w:val="FFFFFF"/>
    </w:rPr>
  </w:style>
  <w:style w:type="character" w:customStyle="1" w:styleId="aubase">
    <w:name w:val="au_base"/>
    <w:rsid w:val="001656DD"/>
    <w:rPr>
      <w:sz w:val="24"/>
    </w:rPr>
  </w:style>
  <w:style w:type="character" w:customStyle="1" w:styleId="aucollab">
    <w:name w:val="au_collab"/>
    <w:rsid w:val="001656DD"/>
    <w:rPr>
      <w:sz w:val="24"/>
      <w:bdr w:val="none" w:sz="0" w:space="0" w:color="auto"/>
      <w:shd w:val="clear" w:color="auto" w:fill="C0C0C0"/>
    </w:rPr>
  </w:style>
  <w:style w:type="character" w:customStyle="1" w:styleId="audeg">
    <w:name w:val="au_deg"/>
    <w:rsid w:val="001656DD"/>
    <w:rPr>
      <w:sz w:val="24"/>
      <w:bdr w:val="none" w:sz="0" w:space="0" w:color="auto"/>
      <w:shd w:val="clear" w:color="auto" w:fill="FFFF00"/>
    </w:rPr>
  </w:style>
  <w:style w:type="character" w:customStyle="1" w:styleId="aufname">
    <w:name w:val="au_fname"/>
    <w:rsid w:val="001656DD"/>
    <w:rPr>
      <w:sz w:val="24"/>
      <w:bdr w:val="none" w:sz="0" w:space="0" w:color="auto"/>
      <w:shd w:val="clear" w:color="auto" w:fill="00FFFF"/>
    </w:rPr>
  </w:style>
  <w:style w:type="character" w:customStyle="1" w:styleId="aurole">
    <w:name w:val="au_role"/>
    <w:rsid w:val="001656DD"/>
    <w:rPr>
      <w:sz w:val="24"/>
      <w:bdr w:val="none" w:sz="0" w:space="0" w:color="auto"/>
      <w:shd w:val="clear" w:color="auto" w:fill="808000"/>
    </w:rPr>
  </w:style>
  <w:style w:type="character" w:customStyle="1" w:styleId="ausuffix">
    <w:name w:val="au_suffix"/>
    <w:rsid w:val="001656DD"/>
    <w:rPr>
      <w:sz w:val="24"/>
      <w:bdr w:val="none" w:sz="0" w:space="0" w:color="auto"/>
      <w:shd w:val="clear" w:color="auto" w:fill="FF00FF"/>
    </w:rPr>
  </w:style>
  <w:style w:type="character" w:customStyle="1" w:styleId="ausurname">
    <w:name w:val="au_surname"/>
    <w:rsid w:val="001656DD"/>
    <w:rPr>
      <w:sz w:val="24"/>
      <w:bdr w:val="none" w:sz="0" w:space="0" w:color="auto"/>
      <w:shd w:val="clear" w:color="auto" w:fill="00FF00"/>
    </w:rPr>
  </w:style>
  <w:style w:type="character" w:customStyle="1" w:styleId="bibbase">
    <w:name w:val="bib_base"/>
    <w:rsid w:val="001656DD"/>
    <w:rPr>
      <w:sz w:val="20"/>
    </w:rPr>
  </w:style>
  <w:style w:type="character" w:customStyle="1" w:styleId="bibarticle">
    <w:name w:val="bib_article"/>
    <w:rsid w:val="001656DD"/>
    <w:rPr>
      <w:sz w:val="20"/>
      <w:bdr w:val="none" w:sz="0" w:space="0" w:color="auto"/>
      <w:shd w:val="clear" w:color="auto" w:fill="FFFFFF"/>
    </w:rPr>
  </w:style>
  <w:style w:type="character" w:customStyle="1" w:styleId="bibcomment">
    <w:name w:val="bib_comment"/>
    <w:rsid w:val="001656DD"/>
    <w:rPr>
      <w:sz w:val="20"/>
    </w:rPr>
  </w:style>
  <w:style w:type="character" w:customStyle="1" w:styleId="bibdeg">
    <w:name w:val="bib_deg"/>
    <w:rsid w:val="001656DD"/>
    <w:rPr>
      <w:sz w:val="20"/>
    </w:rPr>
  </w:style>
  <w:style w:type="character" w:customStyle="1" w:styleId="bibdoi">
    <w:name w:val="bib_doi"/>
    <w:rsid w:val="001656DD"/>
    <w:rPr>
      <w:sz w:val="20"/>
      <w:bdr w:val="none" w:sz="0" w:space="0" w:color="auto"/>
      <w:shd w:val="clear" w:color="auto" w:fill="FFFFFF"/>
    </w:rPr>
  </w:style>
  <w:style w:type="character" w:customStyle="1" w:styleId="bibetal">
    <w:name w:val="bib_etal"/>
    <w:rsid w:val="001656DD"/>
    <w:rPr>
      <w:sz w:val="20"/>
      <w:bdr w:val="none" w:sz="0" w:space="0" w:color="auto"/>
      <w:shd w:val="clear" w:color="auto" w:fill="FFFFFF"/>
    </w:rPr>
  </w:style>
  <w:style w:type="character" w:customStyle="1" w:styleId="bibfname">
    <w:name w:val="bib_fname"/>
    <w:rsid w:val="001656DD"/>
    <w:rPr>
      <w:color w:val="auto"/>
      <w:sz w:val="20"/>
      <w:bdr w:val="none" w:sz="0" w:space="0" w:color="auto"/>
      <w:shd w:val="clear" w:color="auto" w:fill="FFFFFF"/>
    </w:rPr>
  </w:style>
  <w:style w:type="character" w:customStyle="1" w:styleId="bibfpage">
    <w:name w:val="bib_fpage"/>
    <w:rsid w:val="001656DD"/>
    <w:rPr>
      <w:sz w:val="20"/>
      <w:bdr w:val="none" w:sz="0" w:space="0" w:color="auto"/>
      <w:shd w:val="clear" w:color="auto" w:fill="FFFFFF"/>
    </w:rPr>
  </w:style>
  <w:style w:type="character" w:customStyle="1" w:styleId="bibissue">
    <w:name w:val="bib_issue"/>
    <w:rsid w:val="001656DD"/>
    <w:rPr>
      <w:sz w:val="20"/>
      <w:bdr w:val="none" w:sz="0" w:space="0" w:color="auto"/>
      <w:shd w:val="clear" w:color="auto" w:fill="FFFFFF"/>
    </w:rPr>
  </w:style>
  <w:style w:type="character" w:customStyle="1" w:styleId="bibjournal">
    <w:name w:val="bib_journal"/>
    <w:rsid w:val="001656DD"/>
    <w:rPr>
      <w:sz w:val="20"/>
      <w:bdr w:val="none" w:sz="0" w:space="0" w:color="auto"/>
      <w:shd w:val="clear" w:color="auto" w:fill="FFFFFF"/>
    </w:rPr>
  </w:style>
  <w:style w:type="character" w:customStyle="1" w:styleId="biblpage">
    <w:name w:val="bib_lpage"/>
    <w:rsid w:val="001656DD"/>
    <w:rPr>
      <w:sz w:val="20"/>
      <w:bdr w:val="none" w:sz="0" w:space="0" w:color="auto"/>
      <w:shd w:val="clear" w:color="auto" w:fill="FFFFFF"/>
    </w:rPr>
  </w:style>
  <w:style w:type="character" w:customStyle="1" w:styleId="bibmedline">
    <w:name w:val="bib_medline"/>
    <w:rsid w:val="001656DD"/>
    <w:rPr>
      <w:sz w:val="20"/>
    </w:rPr>
  </w:style>
  <w:style w:type="character" w:customStyle="1" w:styleId="bibnumber">
    <w:name w:val="bib_number"/>
    <w:rsid w:val="001656DD"/>
    <w:rPr>
      <w:sz w:val="20"/>
      <w:bdr w:val="none" w:sz="0" w:space="0" w:color="auto"/>
      <w:shd w:val="clear" w:color="auto" w:fill="FFFFFF"/>
    </w:rPr>
  </w:style>
  <w:style w:type="character" w:customStyle="1" w:styleId="biborganization">
    <w:name w:val="bib_organization"/>
    <w:rsid w:val="001656DD"/>
    <w:rPr>
      <w:sz w:val="20"/>
      <w:bdr w:val="none" w:sz="0" w:space="0" w:color="auto"/>
      <w:shd w:val="clear" w:color="auto" w:fill="FFFFFF"/>
    </w:rPr>
  </w:style>
  <w:style w:type="character" w:customStyle="1" w:styleId="bibsuffix">
    <w:name w:val="bib_suffix"/>
    <w:rsid w:val="001656DD"/>
    <w:rPr>
      <w:sz w:val="20"/>
      <w:bdr w:val="none" w:sz="0" w:space="0" w:color="auto"/>
      <w:shd w:val="clear" w:color="auto" w:fill="FFFFFF"/>
    </w:rPr>
  </w:style>
  <w:style w:type="character" w:customStyle="1" w:styleId="bibsuppl">
    <w:name w:val="bib_suppl"/>
    <w:rsid w:val="001656DD"/>
    <w:rPr>
      <w:sz w:val="20"/>
      <w:bdr w:val="none" w:sz="0" w:space="0" w:color="auto"/>
      <w:shd w:val="clear" w:color="auto" w:fill="FFFFFF"/>
    </w:rPr>
  </w:style>
  <w:style w:type="character" w:customStyle="1" w:styleId="bibsurname">
    <w:name w:val="bib_surname"/>
    <w:rsid w:val="001656DD"/>
    <w:rPr>
      <w:sz w:val="20"/>
      <w:bdr w:val="none" w:sz="0" w:space="0" w:color="auto"/>
      <w:shd w:val="clear" w:color="auto" w:fill="FFFFFF"/>
    </w:rPr>
  </w:style>
  <w:style w:type="character" w:customStyle="1" w:styleId="bibunpubl">
    <w:name w:val="bib_unpubl"/>
    <w:rsid w:val="001656DD"/>
    <w:rPr>
      <w:sz w:val="20"/>
    </w:rPr>
  </w:style>
  <w:style w:type="character" w:customStyle="1" w:styleId="biburl">
    <w:name w:val="bib_url"/>
    <w:rsid w:val="001656DD"/>
    <w:rPr>
      <w:sz w:val="20"/>
      <w:bdr w:val="none" w:sz="0" w:space="0" w:color="auto"/>
      <w:shd w:val="clear" w:color="auto" w:fill="FFFFFF"/>
    </w:rPr>
  </w:style>
  <w:style w:type="character" w:customStyle="1" w:styleId="bibvolume">
    <w:name w:val="bib_volume"/>
    <w:rsid w:val="001656DD"/>
    <w:rPr>
      <w:sz w:val="20"/>
      <w:bdr w:val="none" w:sz="0" w:space="0" w:color="auto"/>
      <w:shd w:val="clear" w:color="auto" w:fill="FFFFFF"/>
    </w:rPr>
  </w:style>
  <w:style w:type="character" w:customStyle="1" w:styleId="bibyear">
    <w:name w:val="bib_year"/>
    <w:rsid w:val="001656DD"/>
    <w:rPr>
      <w:sz w:val="20"/>
      <w:bdr w:val="none" w:sz="0" w:space="0" w:color="auto"/>
      <w:shd w:val="clear" w:color="auto" w:fill="FFFFFF"/>
    </w:rPr>
  </w:style>
  <w:style w:type="character" w:customStyle="1" w:styleId="citebase">
    <w:name w:val="cite_base"/>
    <w:rsid w:val="001656DD"/>
    <w:rPr>
      <w:sz w:val="24"/>
    </w:rPr>
  </w:style>
  <w:style w:type="character" w:customStyle="1" w:styleId="citebib">
    <w:name w:val="cite_bib"/>
    <w:rsid w:val="001656DD"/>
    <w:rPr>
      <w:sz w:val="24"/>
      <w:bdr w:val="none" w:sz="0" w:space="0" w:color="auto"/>
      <w:shd w:val="clear" w:color="auto" w:fill="FFFFFF"/>
      <w:vertAlign w:val="baseline"/>
    </w:rPr>
  </w:style>
  <w:style w:type="character" w:customStyle="1" w:styleId="citebox">
    <w:name w:val="cite_box"/>
    <w:rsid w:val="001656DD"/>
    <w:rPr>
      <w:sz w:val="24"/>
      <w:bdr w:val="none" w:sz="0" w:space="0" w:color="auto"/>
      <w:shd w:val="clear" w:color="auto" w:fill="FFFFFF"/>
    </w:rPr>
  </w:style>
  <w:style w:type="character" w:customStyle="1" w:styleId="citeen">
    <w:name w:val="cite_en"/>
    <w:rsid w:val="001656DD"/>
    <w:rPr>
      <w:sz w:val="24"/>
      <w:shd w:val="clear" w:color="auto" w:fill="FFFFFF"/>
      <w:vertAlign w:val="superscript"/>
    </w:rPr>
  </w:style>
  <w:style w:type="character" w:customStyle="1" w:styleId="citefig">
    <w:name w:val="cite_fig"/>
    <w:rsid w:val="001656DD"/>
    <w:rPr>
      <w:color w:val="000000"/>
      <w:sz w:val="24"/>
      <w:bdr w:val="none" w:sz="0" w:space="0" w:color="auto"/>
      <w:shd w:val="clear" w:color="auto" w:fill="FFFFFF"/>
    </w:rPr>
  </w:style>
  <w:style w:type="character" w:customStyle="1" w:styleId="citefn">
    <w:name w:val="cite_fn"/>
    <w:rsid w:val="001656DD"/>
    <w:rPr>
      <w:color w:val="000000"/>
      <w:sz w:val="24"/>
      <w:bdr w:val="none" w:sz="0" w:space="0" w:color="auto"/>
      <w:shd w:val="clear" w:color="auto" w:fill="FFFFFF"/>
      <w:vertAlign w:val="superscript"/>
    </w:rPr>
  </w:style>
  <w:style w:type="character" w:customStyle="1" w:styleId="citetbl">
    <w:name w:val="cite_tbl"/>
    <w:rsid w:val="001656DD"/>
    <w:rPr>
      <w:color w:val="000000"/>
      <w:sz w:val="24"/>
      <w:bdr w:val="none" w:sz="0" w:space="0" w:color="auto"/>
      <w:shd w:val="clear" w:color="auto" w:fill="FFFFFF"/>
    </w:rPr>
  </w:style>
  <w:style w:type="character" w:customStyle="1" w:styleId="eqno">
    <w:name w:val="eq_no"/>
    <w:rsid w:val="001656DD"/>
    <w:rPr>
      <w:sz w:val="24"/>
    </w:rPr>
  </w:style>
  <w:style w:type="character" w:customStyle="1" w:styleId="bibtitle">
    <w:name w:val="bib_title"/>
    <w:rsid w:val="001656DD"/>
    <w:rPr>
      <w:sz w:val="20"/>
      <w:bdr w:val="none" w:sz="0" w:space="0" w:color="auto"/>
      <w:shd w:val="clear" w:color="auto" w:fill="FFFFFF"/>
    </w:rPr>
  </w:style>
  <w:style w:type="character" w:customStyle="1" w:styleId="bibeds">
    <w:name w:val="bib_eds"/>
    <w:rsid w:val="001656DD"/>
    <w:rPr>
      <w:sz w:val="20"/>
      <w:bdr w:val="none" w:sz="0" w:space="0" w:color="auto"/>
      <w:shd w:val="clear" w:color="auto" w:fill="FFFFFF"/>
    </w:rPr>
  </w:style>
  <w:style w:type="character" w:customStyle="1" w:styleId="auprefix">
    <w:name w:val="au_prefix"/>
    <w:rsid w:val="001656DD"/>
    <w:rPr>
      <w:sz w:val="24"/>
      <w:bdr w:val="none" w:sz="0" w:space="0" w:color="auto"/>
      <w:shd w:val="clear" w:color="auto" w:fill="FFCC99"/>
    </w:rPr>
  </w:style>
  <w:style w:type="character" w:customStyle="1" w:styleId="auaddress">
    <w:name w:val="au_address"/>
    <w:rsid w:val="001656DD"/>
    <w:rPr>
      <w:sz w:val="24"/>
      <w:bdr w:val="none" w:sz="0" w:space="0" w:color="auto"/>
      <w:shd w:val="clear" w:color="auto" w:fill="FF99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throps\Desktop\AdvNCBIStyles_0315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ebfb516-47c3-42bf-8695-c627e02fd07c">RP5EP2USD5DN-281-15</_dlc_DocId>
    <_dlc_DocIdUrl xmlns="bebfb516-47c3-42bf-8695-c627e02fd07c">
      <Url>https://sp.ncbi.nlm.nih.gov/IEB/ELS/pmcbooks/bookshelfauthors/_layouts/15/DocIdRedir.aspx?ID=RP5EP2USD5DN-281-15</Url>
      <Description>RP5EP2USD5DN-281-15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78E518A11609D46BAFAF2386136B2B1" ma:contentTypeVersion="1" ma:contentTypeDescription="Create a new document." ma:contentTypeScope="" ma:versionID="33934b3c09f30f1eb40675850b6946b4">
  <xsd:schema xmlns:xsd="http://www.w3.org/2001/XMLSchema" xmlns:xs="http://www.w3.org/2001/XMLSchema" xmlns:p="http://schemas.microsoft.com/office/2006/metadata/properties" xmlns:ns2="bebfb516-47c3-42bf-8695-c627e02fd07c" targetNamespace="http://schemas.microsoft.com/office/2006/metadata/properties" ma:root="true" ma:fieldsID="4ba1a1d6f02b9887023072dde7f2f2cd" ns2:_="">
    <xsd:import namespace="bebfb516-47c3-42bf-8695-c627e02fd07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fb516-47c3-42bf-8695-c627e02fd0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A50483-E947-4D10-8491-0CB310CCEE47}">
  <ds:schemaRefs>
    <ds:schemaRef ds:uri="http://schemas.microsoft.com/office/2006/metadata/properties"/>
    <ds:schemaRef ds:uri="http://schemas.microsoft.com/office/infopath/2007/PartnerControls"/>
    <ds:schemaRef ds:uri="bebfb516-47c3-42bf-8695-c627e02fd07c"/>
  </ds:schemaRefs>
</ds:datastoreItem>
</file>

<file path=customXml/itemProps2.xml><?xml version="1.0" encoding="utf-8"?>
<ds:datastoreItem xmlns:ds="http://schemas.openxmlformats.org/officeDocument/2006/customXml" ds:itemID="{540BDF30-D283-4027-9648-5C5B827B5B56}">
  <ds:schemaRefs>
    <ds:schemaRef ds:uri="http://schemas.microsoft.com/sharepoint/v3/contenttype/forms"/>
  </ds:schemaRefs>
</ds:datastoreItem>
</file>

<file path=customXml/itemProps3.xml><?xml version="1.0" encoding="utf-8"?>
<ds:datastoreItem xmlns:ds="http://schemas.openxmlformats.org/officeDocument/2006/customXml" ds:itemID="{8038290C-9884-453C-A787-6A5CBFA7DF64}">
  <ds:schemaRefs>
    <ds:schemaRef ds:uri="http://schemas.microsoft.com/sharepoint/events"/>
  </ds:schemaRefs>
</ds:datastoreItem>
</file>

<file path=customXml/itemProps4.xml><?xml version="1.0" encoding="utf-8"?>
<ds:datastoreItem xmlns:ds="http://schemas.openxmlformats.org/officeDocument/2006/customXml" ds:itemID="{ADB322E8-991E-45D0-8513-D4270272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fb516-47c3-42bf-8695-c627e02fd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CA3AD8-C14D-4734-AACE-ABB8900F9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AdvNCBIStyles_03152017.dotx</Template>
  <TotalTime>29</TotalTime>
  <Pages>3</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BookshelfDoc</vt:lpstr>
    </vt:vector>
  </TitlesOfParts>
  <Company>NCBI/NLM/NIH</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BookshelfDoc</dc:title>
  <dc:creator>Douglas, Susan (NIH/NLM/NCBI) [C]</dc:creator>
  <cp:lastModifiedBy>Jordan, Diana (NIH/NLM/NCBI) [C]</cp:lastModifiedBy>
  <cp:revision>19</cp:revision>
  <cp:lastPrinted>2017-10-12T13:56:00Z</cp:lastPrinted>
  <dcterms:created xsi:type="dcterms:W3CDTF">2017-10-12T13:56:00Z</dcterms:created>
  <dcterms:modified xsi:type="dcterms:W3CDTF">2020-06-05T19:02:00Z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2b256173-8686-46fa-9f1e-edefb7a2364c</vt:lpwstr>
  </property>
  <property fmtid="{D5CDD505-2E9C-101B-9397-08002B2CF9AE}" pid="3" name="ContentTypeId">
    <vt:lpwstr>0x010100778E518A11609D46BAFAF2386136B2B1</vt:lpwstr>
  </property>
</Properties>
</file>