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F325B" w14:textId="77777777" w:rsidR="003A5039" w:rsidRDefault="00F5422D" w:rsidP="00237B2B">
      <w:pPr>
        <w:pStyle w:val="Comment"/>
      </w:pPr>
      <w:r>
        <w:t>Use this form to tell us important information about this document, then start the text on the following page. All information you give in this form will appear in the document.</w:t>
      </w:r>
    </w:p>
    <w:p w14:paraId="0F9BBF1A" w14:textId="77777777" w:rsidR="008D0631" w:rsidRDefault="008D0631" w:rsidP="008D0631"/>
    <w:tbl>
      <w:tblPr>
        <w:tblW w:w="20388" w:type="dxa"/>
        <w:tblLook w:val="0020" w:firstRow="1" w:lastRow="0" w:firstColumn="0" w:lastColumn="0" w:noHBand="0" w:noVBand="0"/>
      </w:tblPr>
      <w:tblGrid>
        <w:gridCol w:w="6951"/>
        <w:gridCol w:w="2420"/>
        <w:gridCol w:w="2420"/>
        <w:gridCol w:w="2431"/>
        <w:gridCol w:w="1010"/>
        <w:gridCol w:w="2790"/>
        <w:gridCol w:w="2366"/>
      </w:tblGrid>
      <w:tr w:rsidR="004D7185" w14:paraId="27B40025" w14:textId="77777777" w:rsidTr="00183413">
        <w:trPr>
          <w:cantSplit/>
          <w:trHeight w:val="432"/>
        </w:trPr>
        <w:tc>
          <w:tcPr>
            <w:tcW w:w="20388" w:type="dxa"/>
            <w:gridSpan w:val="7"/>
            <w:tcBorders>
              <w:bottom w:val="single" w:sz="12" w:space="0" w:color="990000"/>
            </w:tcBorders>
            <w:shd w:val="clear" w:color="auto" w:fill="E6E6E6"/>
            <w:vAlign w:val="center"/>
          </w:tcPr>
          <w:p w14:paraId="64FF0D74" w14:textId="77777777" w:rsidR="004D7185" w:rsidRDefault="004D7185" w:rsidP="00D0034C">
            <w:pPr>
              <w:spacing w:after="0"/>
              <w:rPr>
                <w:b/>
                <w:sz w:val="20"/>
              </w:rPr>
            </w:pPr>
            <w:r>
              <w:rPr>
                <w:b/>
                <w:sz w:val="20"/>
              </w:rPr>
              <w:t>Document Information</w:t>
            </w:r>
          </w:p>
        </w:tc>
      </w:tr>
      <w:tr w:rsidR="00183413" w14:paraId="72B54E45" w14:textId="77777777" w:rsidTr="003012B3">
        <w:trPr>
          <w:trHeight w:val="288"/>
        </w:trPr>
        <w:tc>
          <w:tcPr>
            <w:tcW w:w="7058" w:type="dxa"/>
            <w:tcBorders>
              <w:top w:val="single" w:sz="12" w:space="0" w:color="990000"/>
              <w:bottom w:val="single" w:sz="4" w:space="0" w:color="auto"/>
            </w:tcBorders>
            <w:vAlign w:val="bottom"/>
          </w:tcPr>
          <w:p w14:paraId="3F765F96" w14:textId="77777777" w:rsidR="0023615D" w:rsidRDefault="00DB7C16" w:rsidP="00D0034C">
            <w:pPr>
              <w:spacing w:after="0"/>
              <w:rPr>
                <w:sz w:val="20"/>
              </w:rPr>
            </w:pPr>
            <w:r>
              <w:rPr>
                <w:sz w:val="20"/>
              </w:rPr>
              <w:t>Document Title</w:t>
            </w:r>
          </w:p>
        </w:tc>
        <w:tc>
          <w:tcPr>
            <w:tcW w:w="2448" w:type="dxa"/>
            <w:tcBorders>
              <w:top w:val="single" w:sz="12" w:space="0" w:color="990000"/>
              <w:bottom w:val="single" w:sz="4" w:space="0" w:color="auto"/>
            </w:tcBorders>
            <w:vAlign w:val="bottom"/>
          </w:tcPr>
          <w:p w14:paraId="3B3DD6A8" w14:textId="77777777" w:rsidR="003012B3" w:rsidRDefault="0023615D" w:rsidP="00D0034C">
            <w:pPr>
              <w:spacing w:after="0"/>
              <w:rPr>
                <w:sz w:val="20"/>
              </w:rPr>
            </w:pPr>
            <w:r>
              <w:rPr>
                <w:sz w:val="20"/>
              </w:rPr>
              <w:t>Created (YYYY-MM-DD)</w:t>
            </w:r>
          </w:p>
        </w:tc>
        <w:tc>
          <w:tcPr>
            <w:tcW w:w="2448" w:type="dxa"/>
            <w:tcBorders>
              <w:top w:val="single" w:sz="12" w:space="0" w:color="990000"/>
              <w:bottom w:val="single" w:sz="4" w:space="0" w:color="auto"/>
            </w:tcBorders>
            <w:shd w:val="clear" w:color="auto" w:fill="auto"/>
            <w:tcMar>
              <w:top w:w="0" w:type="dxa"/>
              <w:left w:w="58" w:type="dxa"/>
              <w:bottom w:w="29" w:type="dxa"/>
              <w:right w:w="115" w:type="dxa"/>
            </w:tcMar>
            <w:vAlign w:val="bottom"/>
          </w:tcPr>
          <w:p w14:paraId="4E60CAB7" w14:textId="77777777" w:rsidR="003012B3" w:rsidRDefault="003012B3" w:rsidP="002E545F">
            <w:pPr>
              <w:spacing w:after="0"/>
              <w:rPr>
                <w:sz w:val="20"/>
              </w:rPr>
            </w:pPr>
            <w:r>
              <w:rPr>
                <w:sz w:val="20"/>
              </w:rPr>
              <w:t>Updated</w:t>
            </w:r>
            <w:r w:rsidR="0023615D">
              <w:rPr>
                <w:sz w:val="20"/>
              </w:rPr>
              <w:t xml:space="preserve"> (YYYY-MM-DD)</w:t>
            </w:r>
          </w:p>
        </w:tc>
        <w:tc>
          <w:tcPr>
            <w:tcW w:w="2448" w:type="dxa"/>
            <w:tcBorders>
              <w:top w:val="single" w:sz="12" w:space="0" w:color="990000"/>
              <w:bottom w:val="single" w:sz="4" w:space="0" w:color="auto"/>
            </w:tcBorders>
            <w:shd w:val="clear" w:color="auto" w:fill="auto"/>
            <w:vAlign w:val="bottom"/>
          </w:tcPr>
          <w:p w14:paraId="724DA698" w14:textId="77777777" w:rsidR="0023615D" w:rsidRDefault="0023615D" w:rsidP="00D0034C">
            <w:pPr>
              <w:spacing w:after="0"/>
              <w:rPr>
                <w:sz w:val="20"/>
              </w:rPr>
            </w:pPr>
            <w:r>
              <w:rPr>
                <w:sz w:val="20"/>
              </w:rPr>
              <w:t>Revised (YYYY-MM-DD)</w:t>
            </w:r>
          </w:p>
          <w:p w14:paraId="27FD0670" w14:textId="77777777" w:rsidR="0023615D" w:rsidRDefault="0023615D" w:rsidP="00D0034C">
            <w:pPr>
              <w:spacing w:after="0"/>
              <w:rPr>
                <w:sz w:val="20"/>
              </w:rPr>
            </w:pPr>
            <w:r>
              <w:rPr>
                <w:sz w:val="20"/>
              </w:rPr>
              <w:t>(</w:t>
            </w:r>
            <w:r w:rsidRPr="003012B3">
              <w:rPr>
                <w:i/>
                <w:sz w:val="20"/>
              </w:rPr>
              <w:t>GeneReviews</w:t>
            </w:r>
            <w:r>
              <w:rPr>
                <w:sz w:val="20"/>
              </w:rPr>
              <w:t xml:space="preserve"> Project)</w:t>
            </w:r>
          </w:p>
        </w:tc>
        <w:tc>
          <w:tcPr>
            <w:tcW w:w="1016" w:type="dxa"/>
            <w:tcBorders>
              <w:top w:val="single" w:sz="12" w:space="0" w:color="990000"/>
              <w:bottom w:val="single" w:sz="4" w:space="0" w:color="auto"/>
            </w:tcBorders>
            <w:shd w:val="clear" w:color="auto" w:fill="auto"/>
            <w:tcMar>
              <w:top w:w="0" w:type="dxa"/>
              <w:left w:w="58" w:type="dxa"/>
              <w:bottom w:w="29" w:type="dxa"/>
              <w:right w:w="115" w:type="dxa"/>
            </w:tcMar>
            <w:vAlign w:val="bottom"/>
          </w:tcPr>
          <w:p w14:paraId="30ECBBD9" w14:textId="77777777" w:rsidR="0023615D" w:rsidRDefault="0023615D" w:rsidP="00D0034C">
            <w:pPr>
              <w:spacing w:after="0"/>
              <w:rPr>
                <w:sz w:val="20"/>
              </w:rPr>
            </w:pPr>
            <w:r>
              <w:rPr>
                <w:sz w:val="20"/>
              </w:rPr>
              <w:t>Label</w:t>
            </w:r>
          </w:p>
        </w:tc>
        <w:tc>
          <w:tcPr>
            <w:tcW w:w="2820" w:type="dxa"/>
            <w:tcBorders>
              <w:top w:val="single" w:sz="12" w:space="0" w:color="990000"/>
              <w:bottom w:val="single" w:sz="4" w:space="0" w:color="auto"/>
            </w:tcBorders>
            <w:shd w:val="clear" w:color="auto" w:fill="auto"/>
            <w:vAlign w:val="bottom"/>
          </w:tcPr>
          <w:p w14:paraId="04EF406A" w14:textId="77777777" w:rsidR="0023615D" w:rsidRDefault="0023615D" w:rsidP="004D7185">
            <w:pPr>
              <w:spacing w:after="0"/>
              <w:rPr>
                <w:sz w:val="20"/>
              </w:rPr>
            </w:pPr>
            <w:r>
              <w:rPr>
                <w:sz w:val="20"/>
              </w:rPr>
              <w:t>Indicate “chapter” or “appendix”</w:t>
            </w:r>
          </w:p>
        </w:tc>
        <w:tc>
          <w:tcPr>
            <w:tcW w:w="2391" w:type="dxa"/>
            <w:tcBorders>
              <w:top w:val="single" w:sz="12" w:space="0" w:color="990000"/>
              <w:bottom w:val="single" w:sz="4" w:space="0" w:color="auto"/>
            </w:tcBorders>
            <w:shd w:val="clear" w:color="auto" w:fill="auto"/>
            <w:vAlign w:val="bottom"/>
          </w:tcPr>
          <w:p w14:paraId="6986C80B" w14:textId="77777777" w:rsidR="0023615D" w:rsidRDefault="0023615D" w:rsidP="00D0034C">
            <w:pPr>
              <w:rPr>
                <w:sz w:val="20"/>
              </w:rPr>
            </w:pPr>
            <w:r>
              <w:rPr>
                <w:sz w:val="20"/>
              </w:rPr>
              <w:t>Alternate Form (pdf)</w:t>
            </w:r>
          </w:p>
        </w:tc>
      </w:tr>
      <w:tr w:rsidR="00183413" w14:paraId="7C38A073" w14:textId="77777777" w:rsidTr="003012B3">
        <w:trPr>
          <w:trHeight w:val="288"/>
        </w:trPr>
        <w:tc>
          <w:tcPr>
            <w:tcW w:w="7058" w:type="dxa"/>
            <w:tcBorders>
              <w:top w:val="single" w:sz="4" w:space="0" w:color="auto"/>
              <w:bottom w:val="single" w:sz="4" w:space="0" w:color="auto"/>
            </w:tcBorders>
            <w:vAlign w:val="bottom"/>
          </w:tcPr>
          <w:p w14:paraId="3088AC12" w14:textId="77777777" w:rsidR="00183413" w:rsidRDefault="00C74DE4" w:rsidP="00CA6774">
            <w:pPr>
              <w:spacing w:after="0"/>
              <w:rPr>
                <w:sz w:val="20"/>
              </w:rPr>
            </w:pPr>
            <w:r>
              <w:rPr>
                <w:sz w:val="20"/>
              </w:rPr>
              <w:t>Eukaryotic Genome Annotation Pipeline</w:t>
            </w:r>
          </w:p>
        </w:tc>
        <w:tc>
          <w:tcPr>
            <w:tcW w:w="2448" w:type="dxa"/>
            <w:tcBorders>
              <w:top w:val="single" w:sz="4" w:space="0" w:color="auto"/>
              <w:bottom w:val="single" w:sz="4" w:space="0" w:color="auto"/>
            </w:tcBorders>
            <w:vAlign w:val="bottom"/>
          </w:tcPr>
          <w:p w14:paraId="063E03E3" w14:textId="4FFD3D90" w:rsidR="00183413" w:rsidRDefault="00F203FF" w:rsidP="00D0034C">
            <w:pPr>
              <w:spacing w:after="0"/>
              <w:rPr>
                <w:sz w:val="20"/>
              </w:rPr>
            </w:pPr>
            <w:r>
              <w:rPr>
                <w:sz w:val="20"/>
              </w:rPr>
              <w:t>2013-11-14</w:t>
            </w:r>
          </w:p>
        </w:tc>
        <w:tc>
          <w:tcPr>
            <w:tcW w:w="2448" w:type="dxa"/>
            <w:tcBorders>
              <w:top w:val="single" w:sz="4" w:space="0" w:color="auto"/>
              <w:bottom w:val="single" w:sz="4" w:space="0" w:color="auto"/>
            </w:tcBorders>
            <w:shd w:val="clear" w:color="auto" w:fill="auto"/>
            <w:tcMar>
              <w:top w:w="0" w:type="dxa"/>
              <w:left w:w="58" w:type="dxa"/>
              <w:bottom w:w="29" w:type="dxa"/>
              <w:right w:w="115" w:type="dxa"/>
            </w:tcMar>
            <w:vAlign w:val="bottom"/>
          </w:tcPr>
          <w:p w14:paraId="1427CAAC" w14:textId="46429667" w:rsidR="00183413" w:rsidRDefault="00183413" w:rsidP="000C5393">
            <w:pPr>
              <w:spacing w:after="0"/>
              <w:rPr>
                <w:sz w:val="20"/>
              </w:rPr>
            </w:pPr>
          </w:p>
        </w:tc>
        <w:tc>
          <w:tcPr>
            <w:tcW w:w="2448" w:type="dxa"/>
            <w:tcBorders>
              <w:top w:val="single" w:sz="4" w:space="0" w:color="auto"/>
              <w:bottom w:val="single" w:sz="4" w:space="0" w:color="auto"/>
            </w:tcBorders>
            <w:shd w:val="clear" w:color="auto" w:fill="auto"/>
            <w:vAlign w:val="bottom"/>
          </w:tcPr>
          <w:p w14:paraId="5596EC98" w14:textId="77777777" w:rsidR="00183413" w:rsidRDefault="00183413" w:rsidP="00D0034C">
            <w:pPr>
              <w:spacing w:after="0"/>
              <w:rPr>
                <w:sz w:val="20"/>
              </w:rPr>
            </w:pPr>
          </w:p>
        </w:tc>
        <w:tc>
          <w:tcPr>
            <w:tcW w:w="1016" w:type="dxa"/>
            <w:tcBorders>
              <w:top w:val="single" w:sz="4" w:space="0" w:color="auto"/>
              <w:bottom w:val="single" w:sz="4" w:space="0" w:color="auto"/>
            </w:tcBorders>
            <w:shd w:val="clear" w:color="auto" w:fill="auto"/>
            <w:tcMar>
              <w:top w:w="0" w:type="dxa"/>
              <w:left w:w="58" w:type="dxa"/>
              <w:bottom w:w="29" w:type="dxa"/>
              <w:right w:w="115" w:type="dxa"/>
            </w:tcMar>
            <w:vAlign w:val="bottom"/>
          </w:tcPr>
          <w:p w14:paraId="19FF6155" w14:textId="77777777" w:rsidR="00183413" w:rsidRDefault="00183413" w:rsidP="00D0034C">
            <w:pPr>
              <w:spacing w:after="0"/>
              <w:rPr>
                <w:sz w:val="20"/>
              </w:rPr>
            </w:pPr>
          </w:p>
        </w:tc>
        <w:tc>
          <w:tcPr>
            <w:tcW w:w="2820" w:type="dxa"/>
            <w:tcBorders>
              <w:top w:val="single" w:sz="4" w:space="0" w:color="auto"/>
              <w:bottom w:val="single" w:sz="4" w:space="0" w:color="auto"/>
            </w:tcBorders>
            <w:shd w:val="clear" w:color="auto" w:fill="auto"/>
            <w:vAlign w:val="bottom"/>
          </w:tcPr>
          <w:p w14:paraId="7545B2BF" w14:textId="77777777" w:rsidR="00183413" w:rsidRDefault="00AB15DA" w:rsidP="004D7185">
            <w:pPr>
              <w:spacing w:after="0"/>
              <w:rPr>
                <w:sz w:val="20"/>
              </w:rPr>
            </w:pPr>
            <w:r>
              <w:rPr>
                <w:sz w:val="20"/>
              </w:rPr>
              <w:t>chapter</w:t>
            </w:r>
          </w:p>
        </w:tc>
        <w:tc>
          <w:tcPr>
            <w:tcW w:w="2391" w:type="dxa"/>
            <w:tcBorders>
              <w:top w:val="single" w:sz="4" w:space="0" w:color="auto"/>
              <w:bottom w:val="single" w:sz="4" w:space="0" w:color="auto"/>
            </w:tcBorders>
            <w:shd w:val="clear" w:color="auto" w:fill="auto"/>
            <w:vAlign w:val="bottom"/>
          </w:tcPr>
          <w:p w14:paraId="0DE7446C" w14:textId="77777777" w:rsidR="00183413" w:rsidRDefault="00AB15DA" w:rsidP="00D0034C">
            <w:pPr>
              <w:rPr>
                <w:sz w:val="20"/>
              </w:rPr>
            </w:pPr>
            <w:r>
              <w:rPr>
                <w:sz w:val="20"/>
              </w:rPr>
              <w:t>pdf</w:t>
            </w:r>
          </w:p>
        </w:tc>
      </w:tr>
    </w:tbl>
    <w:p w14:paraId="237044FB" w14:textId="77777777" w:rsidR="004D7185" w:rsidRDefault="004D7185" w:rsidP="008D0631"/>
    <w:tbl>
      <w:tblPr>
        <w:tblW w:w="14072" w:type="dxa"/>
        <w:tblLook w:val="0020" w:firstRow="1" w:lastRow="0" w:firstColumn="0" w:lastColumn="0" w:noHBand="0" w:noVBand="0"/>
      </w:tblPr>
      <w:tblGrid>
        <w:gridCol w:w="1891"/>
        <w:gridCol w:w="1817"/>
        <w:gridCol w:w="837"/>
        <w:gridCol w:w="1195"/>
        <w:gridCol w:w="1196"/>
        <w:gridCol w:w="4242"/>
        <w:gridCol w:w="1544"/>
        <w:gridCol w:w="1350"/>
      </w:tblGrid>
      <w:tr w:rsidR="004F39FD" w14:paraId="65C91783" w14:textId="77777777" w:rsidTr="008510F4">
        <w:trPr>
          <w:cantSplit/>
          <w:trHeight w:val="432"/>
        </w:trPr>
        <w:tc>
          <w:tcPr>
            <w:tcW w:w="14072" w:type="dxa"/>
            <w:gridSpan w:val="8"/>
            <w:tcBorders>
              <w:top w:val="nil"/>
              <w:left w:val="nil"/>
              <w:bottom w:val="single" w:sz="12" w:space="0" w:color="990000"/>
              <w:right w:val="nil"/>
            </w:tcBorders>
            <w:shd w:val="clear" w:color="auto" w:fill="E6E6E6"/>
            <w:vAlign w:val="center"/>
          </w:tcPr>
          <w:p w14:paraId="2513058F" w14:textId="77777777" w:rsidR="004F39FD" w:rsidRDefault="004F39FD" w:rsidP="00256208">
            <w:pPr>
              <w:spacing w:after="0"/>
              <w:rPr>
                <w:b/>
                <w:sz w:val="20"/>
              </w:rPr>
            </w:pPr>
            <w:r>
              <w:rPr>
                <w:b/>
                <w:sz w:val="20"/>
              </w:rPr>
              <w:t>Author Information</w:t>
            </w:r>
          </w:p>
        </w:tc>
      </w:tr>
      <w:tr w:rsidR="004F39FD" w14:paraId="022D4A96" w14:textId="77777777" w:rsidTr="008510F4">
        <w:trPr>
          <w:trHeight w:val="432"/>
        </w:trPr>
        <w:tc>
          <w:tcPr>
            <w:tcW w:w="1891" w:type="dxa"/>
            <w:tcBorders>
              <w:top w:val="nil"/>
              <w:left w:val="nil"/>
              <w:bottom w:val="single" w:sz="4" w:space="0" w:color="auto"/>
              <w:right w:val="nil"/>
            </w:tcBorders>
            <w:vAlign w:val="bottom"/>
          </w:tcPr>
          <w:p w14:paraId="6E97F140" w14:textId="77777777" w:rsidR="004F39FD" w:rsidRDefault="004F39FD" w:rsidP="00256208">
            <w:pPr>
              <w:spacing w:after="0"/>
              <w:rPr>
                <w:sz w:val="20"/>
              </w:rPr>
            </w:pPr>
            <w:r>
              <w:rPr>
                <w:sz w:val="20"/>
              </w:rPr>
              <w:t>Given Name(s)</w:t>
            </w:r>
          </w:p>
        </w:tc>
        <w:tc>
          <w:tcPr>
            <w:tcW w:w="1817" w:type="dxa"/>
            <w:tcBorders>
              <w:top w:val="nil"/>
              <w:left w:val="nil"/>
              <w:bottom w:val="single" w:sz="4" w:space="0" w:color="auto"/>
              <w:right w:val="nil"/>
            </w:tcBorders>
            <w:vAlign w:val="bottom"/>
          </w:tcPr>
          <w:p w14:paraId="560F1D55" w14:textId="77777777" w:rsidR="004F39FD" w:rsidRDefault="004F39FD" w:rsidP="00256208">
            <w:pPr>
              <w:spacing w:after="0"/>
              <w:rPr>
                <w:sz w:val="20"/>
              </w:rPr>
            </w:pPr>
            <w:r>
              <w:rPr>
                <w:sz w:val="20"/>
              </w:rPr>
              <w:t>Last Name</w:t>
            </w:r>
          </w:p>
        </w:tc>
        <w:tc>
          <w:tcPr>
            <w:tcW w:w="837" w:type="dxa"/>
            <w:tcBorders>
              <w:top w:val="nil"/>
              <w:left w:val="nil"/>
              <w:bottom w:val="single" w:sz="4" w:space="0" w:color="auto"/>
              <w:right w:val="nil"/>
            </w:tcBorders>
            <w:vAlign w:val="bottom"/>
          </w:tcPr>
          <w:p w14:paraId="1CE5341A" w14:textId="77777777" w:rsidR="004F39FD" w:rsidRDefault="004F39FD" w:rsidP="00256208">
            <w:pPr>
              <w:spacing w:after="0"/>
              <w:rPr>
                <w:sz w:val="20"/>
              </w:rPr>
            </w:pPr>
            <w:r>
              <w:rPr>
                <w:sz w:val="20"/>
              </w:rPr>
              <w:t>Suffix</w:t>
            </w:r>
          </w:p>
        </w:tc>
        <w:tc>
          <w:tcPr>
            <w:tcW w:w="1195" w:type="dxa"/>
            <w:tcBorders>
              <w:top w:val="nil"/>
              <w:left w:val="nil"/>
              <w:bottom w:val="single" w:sz="4" w:space="0" w:color="auto"/>
              <w:right w:val="nil"/>
            </w:tcBorders>
            <w:vAlign w:val="bottom"/>
          </w:tcPr>
          <w:p w14:paraId="200C8457" w14:textId="77777777" w:rsidR="004F39FD" w:rsidRDefault="004F39FD" w:rsidP="00256208">
            <w:pPr>
              <w:spacing w:after="0"/>
              <w:rPr>
                <w:sz w:val="20"/>
              </w:rPr>
            </w:pPr>
            <w:r>
              <w:rPr>
                <w:sz w:val="20"/>
              </w:rPr>
              <w:t>Degrees</w:t>
            </w:r>
          </w:p>
        </w:tc>
        <w:tc>
          <w:tcPr>
            <w:tcW w:w="1196" w:type="dxa"/>
            <w:tcBorders>
              <w:top w:val="nil"/>
              <w:left w:val="nil"/>
              <w:bottom w:val="single" w:sz="4" w:space="0" w:color="auto"/>
              <w:right w:val="nil"/>
            </w:tcBorders>
            <w:vAlign w:val="bottom"/>
          </w:tcPr>
          <w:p w14:paraId="1B3DCE9B" w14:textId="77777777" w:rsidR="004F39FD" w:rsidRDefault="004F39FD" w:rsidP="00256208">
            <w:pPr>
              <w:spacing w:after="0"/>
              <w:rPr>
                <w:sz w:val="20"/>
              </w:rPr>
            </w:pPr>
            <w:r>
              <w:rPr>
                <w:sz w:val="20"/>
              </w:rPr>
              <w:t>Affiliation</w:t>
            </w:r>
          </w:p>
        </w:tc>
        <w:tc>
          <w:tcPr>
            <w:tcW w:w="4242" w:type="dxa"/>
            <w:tcBorders>
              <w:top w:val="nil"/>
              <w:left w:val="nil"/>
              <w:bottom w:val="single" w:sz="4" w:space="0" w:color="auto"/>
              <w:right w:val="nil"/>
            </w:tcBorders>
            <w:vAlign w:val="bottom"/>
          </w:tcPr>
          <w:p w14:paraId="2D2BD159" w14:textId="77777777" w:rsidR="004F39FD" w:rsidRDefault="004F39FD" w:rsidP="00256208">
            <w:pPr>
              <w:spacing w:after="0"/>
              <w:rPr>
                <w:sz w:val="20"/>
              </w:rPr>
            </w:pPr>
            <w:r>
              <w:rPr>
                <w:sz w:val="20"/>
              </w:rPr>
              <w:t>Email</w:t>
            </w:r>
          </w:p>
        </w:tc>
        <w:tc>
          <w:tcPr>
            <w:tcW w:w="1544" w:type="dxa"/>
            <w:tcBorders>
              <w:top w:val="nil"/>
              <w:left w:val="nil"/>
              <w:bottom w:val="single" w:sz="4" w:space="0" w:color="auto"/>
              <w:right w:val="nil"/>
            </w:tcBorders>
            <w:vAlign w:val="bottom"/>
          </w:tcPr>
          <w:p w14:paraId="050B104A" w14:textId="77777777" w:rsidR="004F39FD" w:rsidRDefault="004F39FD" w:rsidP="00256208">
            <w:pPr>
              <w:spacing w:after="0"/>
              <w:rPr>
                <w:sz w:val="20"/>
              </w:rPr>
            </w:pPr>
            <w:r>
              <w:rPr>
                <w:sz w:val="20"/>
              </w:rPr>
              <w:t>Corr. Au. ?</w:t>
            </w:r>
          </w:p>
          <w:p w14:paraId="147C88E7" w14:textId="77777777" w:rsidR="004F39FD" w:rsidRDefault="004F39FD" w:rsidP="00256208">
            <w:pPr>
              <w:spacing w:after="0"/>
              <w:rPr>
                <w:sz w:val="20"/>
              </w:rPr>
            </w:pPr>
            <w:r>
              <w:rPr>
                <w:sz w:val="20"/>
              </w:rPr>
              <w:t>(Yes)</w:t>
            </w:r>
          </w:p>
        </w:tc>
        <w:tc>
          <w:tcPr>
            <w:tcW w:w="1350" w:type="dxa"/>
            <w:tcBorders>
              <w:top w:val="nil"/>
              <w:left w:val="nil"/>
              <w:bottom w:val="single" w:sz="4" w:space="0" w:color="auto"/>
              <w:right w:val="nil"/>
            </w:tcBorders>
            <w:vAlign w:val="bottom"/>
          </w:tcPr>
          <w:p w14:paraId="089CCB3B" w14:textId="77777777" w:rsidR="004F39FD" w:rsidRDefault="004F39FD" w:rsidP="00256208">
            <w:pPr>
              <w:spacing w:after="0"/>
              <w:rPr>
                <w:sz w:val="20"/>
              </w:rPr>
            </w:pPr>
            <w:r>
              <w:rPr>
                <w:sz w:val="20"/>
              </w:rPr>
              <w:t>Au. Footnote</w:t>
            </w:r>
          </w:p>
        </w:tc>
      </w:tr>
      <w:tr w:rsidR="00E11A5D" w14:paraId="7B7D6324" w14:textId="77777777" w:rsidTr="008510F4">
        <w:trPr>
          <w:trHeight w:val="432"/>
        </w:trPr>
        <w:tc>
          <w:tcPr>
            <w:tcW w:w="1891" w:type="dxa"/>
            <w:tcBorders>
              <w:top w:val="nil"/>
              <w:left w:val="nil"/>
              <w:bottom w:val="single" w:sz="4" w:space="0" w:color="auto"/>
              <w:right w:val="nil"/>
            </w:tcBorders>
            <w:vAlign w:val="center"/>
          </w:tcPr>
          <w:p w14:paraId="1E932028" w14:textId="1FB74541" w:rsidR="00E11A5D" w:rsidRDefault="00E11A5D" w:rsidP="00343DCC">
            <w:pPr>
              <w:spacing w:after="0"/>
              <w:rPr>
                <w:sz w:val="20"/>
              </w:rPr>
            </w:pPr>
            <w:r>
              <w:rPr>
                <w:sz w:val="20"/>
              </w:rPr>
              <w:t>Françoise</w:t>
            </w:r>
          </w:p>
        </w:tc>
        <w:tc>
          <w:tcPr>
            <w:tcW w:w="1817" w:type="dxa"/>
            <w:tcBorders>
              <w:top w:val="nil"/>
              <w:left w:val="nil"/>
              <w:bottom w:val="single" w:sz="4" w:space="0" w:color="auto"/>
              <w:right w:val="nil"/>
            </w:tcBorders>
            <w:vAlign w:val="center"/>
          </w:tcPr>
          <w:p w14:paraId="0D4552D6" w14:textId="6ABA2FBC" w:rsidR="00E11A5D" w:rsidRDefault="00E11A5D" w:rsidP="00343DCC">
            <w:pPr>
              <w:spacing w:after="0"/>
              <w:rPr>
                <w:sz w:val="20"/>
              </w:rPr>
            </w:pPr>
            <w:r>
              <w:rPr>
                <w:sz w:val="20"/>
              </w:rPr>
              <w:t>Thibaud-Nissen</w:t>
            </w:r>
          </w:p>
        </w:tc>
        <w:tc>
          <w:tcPr>
            <w:tcW w:w="837" w:type="dxa"/>
            <w:tcBorders>
              <w:top w:val="nil"/>
              <w:left w:val="nil"/>
              <w:bottom w:val="single" w:sz="4" w:space="0" w:color="auto"/>
              <w:right w:val="nil"/>
            </w:tcBorders>
            <w:vAlign w:val="center"/>
          </w:tcPr>
          <w:p w14:paraId="37879DFB" w14:textId="77777777" w:rsidR="00E11A5D" w:rsidRDefault="00E11A5D" w:rsidP="00343DCC">
            <w:pPr>
              <w:spacing w:after="0"/>
              <w:rPr>
                <w:sz w:val="20"/>
              </w:rPr>
            </w:pPr>
          </w:p>
        </w:tc>
        <w:tc>
          <w:tcPr>
            <w:tcW w:w="1195" w:type="dxa"/>
            <w:tcBorders>
              <w:top w:val="nil"/>
              <w:left w:val="nil"/>
              <w:bottom w:val="single" w:sz="4" w:space="0" w:color="auto"/>
              <w:right w:val="nil"/>
            </w:tcBorders>
            <w:vAlign w:val="center"/>
          </w:tcPr>
          <w:p w14:paraId="68C46F89" w14:textId="0DE2EA05" w:rsidR="00E11A5D" w:rsidRDefault="00E11A5D" w:rsidP="00343DCC">
            <w:pPr>
              <w:spacing w:after="0"/>
              <w:rPr>
                <w:sz w:val="20"/>
              </w:rPr>
            </w:pPr>
            <w:r>
              <w:rPr>
                <w:sz w:val="20"/>
              </w:rPr>
              <w:t>PhD</w:t>
            </w:r>
          </w:p>
        </w:tc>
        <w:tc>
          <w:tcPr>
            <w:tcW w:w="1196" w:type="dxa"/>
            <w:tcBorders>
              <w:top w:val="nil"/>
              <w:left w:val="nil"/>
              <w:bottom w:val="single" w:sz="4" w:space="0" w:color="auto"/>
              <w:right w:val="nil"/>
            </w:tcBorders>
            <w:vAlign w:val="center"/>
          </w:tcPr>
          <w:p w14:paraId="52F7D44D" w14:textId="6C490E25" w:rsidR="00E11A5D" w:rsidRDefault="00F96E0D" w:rsidP="00343DCC">
            <w:pPr>
              <w:spacing w:after="0"/>
              <w:rPr>
                <w:sz w:val="20"/>
              </w:rPr>
            </w:pPr>
            <w:r>
              <w:rPr>
                <w:sz w:val="20"/>
              </w:rPr>
              <w:t>1</w:t>
            </w:r>
          </w:p>
        </w:tc>
        <w:tc>
          <w:tcPr>
            <w:tcW w:w="4242" w:type="dxa"/>
            <w:tcBorders>
              <w:top w:val="nil"/>
              <w:left w:val="nil"/>
              <w:bottom w:val="single" w:sz="4" w:space="0" w:color="auto"/>
              <w:right w:val="nil"/>
            </w:tcBorders>
            <w:vAlign w:val="center"/>
          </w:tcPr>
          <w:p w14:paraId="08987FA5" w14:textId="11651D50" w:rsidR="00E11A5D" w:rsidRDefault="009D29AA" w:rsidP="00343DCC">
            <w:pPr>
              <w:spacing w:after="0"/>
              <w:rPr>
                <w:sz w:val="20"/>
              </w:rPr>
            </w:pPr>
            <w:r w:rsidRPr="009D29AA">
              <w:rPr>
                <w:sz w:val="20"/>
              </w:rPr>
              <w:t>thibaudf@ncbi.nlm.nih.gov</w:t>
            </w:r>
          </w:p>
        </w:tc>
        <w:tc>
          <w:tcPr>
            <w:tcW w:w="1544" w:type="dxa"/>
            <w:tcBorders>
              <w:top w:val="nil"/>
              <w:left w:val="nil"/>
              <w:bottom w:val="single" w:sz="4" w:space="0" w:color="auto"/>
              <w:right w:val="nil"/>
            </w:tcBorders>
            <w:vAlign w:val="center"/>
          </w:tcPr>
          <w:p w14:paraId="5D657F1B" w14:textId="77777777" w:rsidR="00E11A5D" w:rsidRDefault="00E11A5D" w:rsidP="00343DCC">
            <w:pPr>
              <w:spacing w:after="0"/>
              <w:rPr>
                <w:sz w:val="20"/>
              </w:rPr>
            </w:pPr>
          </w:p>
        </w:tc>
        <w:tc>
          <w:tcPr>
            <w:tcW w:w="1350" w:type="dxa"/>
            <w:tcBorders>
              <w:top w:val="nil"/>
              <w:left w:val="nil"/>
              <w:bottom w:val="single" w:sz="4" w:space="0" w:color="auto"/>
              <w:right w:val="nil"/>
            </w:tcBorders>
            <w:vAlign w:val="center"/>
          </w:tcPr>
          <w:p w14:paraId="19CA286B" w14:textId="77777777" w:rsidR="00E11A5D" w:rsidRDefault="00E11A5D" w:rsidP="00343DCC">
            <w:pPr>
              <w:spacing w:after="0"/>
              <w:rPr>
                <w:sz w:val="20"/>
              </w:rPr>
            </w:pPr>
          </w:p>
        </w:tc>
      </w:tr>
      <w:tr w:rsidR="009D29AA" w14:paraId="45241129" w14:textId="77777777" w:rsidTr="008510F4">
        <w:trPr>
          <w:trHeight w:val="432"/>
        </w:trPr>
        <w:tc>
          <w:tcPr>
            <w:tcW w:w="1891" w:type="dxa"/>
            <w:tcBorders>
              <w:top w:val="nil"/>
              <w:left w:val="nil"/>
              <w:bottom w:val="single" w:sz="4" w:space="0" w:color="auto"/>
              <w:right w:val="nil"/>
            </w:tcBorders>
            <w:vAlign w:val="center"/>
          </w:tcPr>
          <w:p w14:paraId="3E310285" w14:textId="07DD69C4" w:rsidR="009D29AA" w:rsidRDefault="009D29AA" w:rsidP="00256208">
            <w:pPr>
              <w:spacing w:after="0"/>
              <w:rPr>
                <w:sz w:val="20"/>
              </w:rPr>
            </w:pPr>
            <w:r>
              <w:rPr>
                <w:sz w:val="20"/>
              </w:rPr>
              <w:t>Alexander</w:t>
            </w:r>
          </w:p>
        </w:tc>
        <w:tc>
          <w:tcPr>
            <w:tcW w:w="1817" w:type="dxa"/>
            <w:tcBorders>
              <w:top w:val="nil"/>
              <w:left w:val="nil"/>
              <w:bottom w:val="single" w:sz="4" w:space="0" w:color="auto"/>
              <w:right w:val="nil"/>
            </w:tcBorders>
            <w:vAlign w:val="center"/>
          </w:tcPr>
          <w:p w14:paraId="793A873F" w14:textId="542F447E" w:rsidR="009D29AA" w:rsidRDefault="009D29AA" w:rsidP="00256208">
            <w:pPr>
              <w:spacing w:after="0"/>
              <w:rPr>
                <w:sz w:val="20"/>
              </w:rPr>
            </w:pPr>
            <w:r>
              <w:rPr>
                <w:sz w:val="20"/>
              </w:rPr>
              <w:t>Souvorov</w:t>
            </w:r>
          </w:p>
        </w:tc>
        <w:tc>
          <w:tcPr>
            <w:tcW w:w="837" w:type="dxa"/>
            <w:tcBorders>
              <w:top w:val="nil"/>
              <w:left w:val="nil"/>
              <w:bottom w:val="single" w:sz="4" w:space="0" w:color="auto"/>
              <w:right w:val="nil"/>
            </w:tcBorders>
            <w:vAlign w:val="center"/>
          </w:tcPr>
          <w:p w14:paraId="55638168" w14:textId="77777777" w:rsidR="009D29AA" w:rsidRDefault="009D29AA" w:rsidP="00256208">
            <w:pPr>
              <w:spacing w:after="0"/>
              <w:rPr>
                <w:sz w:val="20"/>
              </w:rPr>
            </w:pPr>
          </w:p>
        </w:tc>
        <w:tc>
          <w:tcPr>
            <w:tcW w:w="1195" w:type="dxa"/>
            <w:tcBorders>
              <w:top w:val="nil"/>
              <w:left w:val="nil"/>
              <w:bottom w:val="single" w:sz="4" w:space="0" w:color="auto"/>
              <w:right w:val="nil"/>
            </w:tcBorders>
            <w:vAlign w:val="center"/>
          </w:tcPr>
          <w:p w14:paraId="656866FE" w14:textId="6FDF0819" w:rsidR="009D29AA" w:rsidRDefault="009D29AA" w:rsidP="00256208">
            <w:pPr>
              <w:spacing w:after="0"/>
              <w:rPr>
                <w:sz w:val="20"/>
              </w:rPr>
            </w:pPr>
            <w:r>
              <w:rPr>
                <w:sz w:val="20"/>
              </w:rPr>
              <w:t>PhD</w:t>
            </w:r>
          </w:p>
        </w:tc>
        <w:tc>
          <w:tcPr>
            <w:tcW w:w="1196" w:type="dxa"/>
            <w:tcBorders>
              <w:top w:val="nil"/>
              <w:left w:val="nil"/>
              <w:bottom w:val="single" w:sz="4" w:space="0" w:color="auto"/>
              <w:right w:val="nil"/>
            </w:tcBorders>
            <w:vAlign w:val="center"/>
          </w:tcPr>
          <w:p w14:paraId="714413E8" w14:textId="1713B5D4" w:rsidR="009D29AA" w:rsidRDefault="00F96E0D" w:rsidP="00256208">
            <w:pPr>
              <w:spacing w:after="0"/>
              <w:rPr>
                <w:sz w:val="20"/>
              </w:rPr>
            </w:pPr>
            <w:r>
              <w:rPr>
                <w:sz w:val="20"/>
              </w:rPr>
              <w:t>1</w:t>
            </w:r>
          </w:p>
        </w:tc>
        <w:tc>
          <w:tcPr>
            <w:tcW w:w="4242" w:type="dxa"/>
            <w:tcBorders>
              <w:top w:val="nil"/>
              <w:left w:val="nil"/>
              <w:bottom w:val="single" w:sz="4" w:space="0" w:color="auto"/>
              <w:right w:val="nil"/>
            </w:tcBorders>
            <w:vAlign w:val="center"/>
          </w:tcPr>
          <w:p w14:paraId="5BBCB23A" w14:textId="26123FE7" w:rsidR="009D29AA" w:rsidRDefault="008510F4" w:rsidP="00256208">
            <w:pPr>
              <w:spacing w:after="0"/>
              <w:rPr>
                <w:sz w:val="20"/>
              </w:rPr>
            </w:pPr>
            <w:r w:rsidRPr="008510F4">
              <w:rPr>
                <w:sz w:val="20"/>
              </w:rPr>
              <w:t>souvorov@ncbi.nlm.nih.gov</w:t>
            </w:r>
          </w:p>
        </w:tc>
        <w:tc>
          <w:tcPr>
            <w:tcW w:w="1544" w:type="dxa"/>
            <w:tcBorders>
              <w:top w:val="nil"/>
              <w:left w:val="nil"/>
              <w:bottom w:val="single" w:sz="4" w:space="0" w:color="auto"/>
              <w:right w:val="nil"/>
            </w:tcBorders>
            <w:vAlign w:val="center"/>
          </w:tcPr>
          <w:p w14:paraId="710E3A27" w14:textId="77777777" w:rsidR="009D29AA" w:rsidRDefault="009D29AA" w:rsidP="00256208">
            <w:pPr>
              <w:spacing w:after="0"/>
              <w:rPr>
                <w:sz w:val="20"/>
              </w:rPr>
            </w:pPr>
          </w:p>
        </w:tc>
        <w:tc>
          <w:tcPr>
            <w:tcW w:w="1350" w:type="dxa"/>
            <w:tcBorders>
              <w:top w:val="nil"/>
              <w:left w:val="nil"/>
              <w:bottom w:val="single" w:sz="4" w:space="0" w:color="auto"/>
              <w:right w:val="nil"/>
            </w:tcBorders>
            <w:vAlign w:val="center"/>
          </w:tcPr>
          <w:p w14:paraId="49D9D743" w14:textId="77777777" w:rsidR="009D29AA" w:rsidRDefault="009D29AA" w:rsidP="00256208">
            <w:pPr>
              <w:spacing w:after="0"/>
              <w:rPr>
                <w:sz w:val="20"/>
              </w:rPr>
            </w:pPr>
          </w:p>
        </w:tc>
      </w:tr>
      <w:tr w:rsidR="009D29AA" w14:paraId="29A7EA58" w14:textId="77777777" w:rsidTr="008510F4">
        <w:trPr>
          <w:trHeight w:val="432"/>
        </w:trPr>
        <w:tc>
          <w:tcPr>
            <w:tcW w:w="1891" w:type="dxa"/>
            <w:tcBorders>
              <w:top w:val="nil"/>
              <w:left w:val="nil"/>
              <w:bottom w:val="single" w:sz="4" w:space="0" w:color="auto"/>
              <w:right w:val="nil"/>
            </w:tcBorders>
            <w:vAlign w:val="center"/>
          </w:tcPr>
          <w:p w14:paraId="145146DB" w14:textId="77777777" w:rsidR="009D29AA" w:rsidRDefault="009D29AA" w:rsidP="00256208">
            <w:pPr>
              <w:spacing w:after="0"/>
              <w:rPr>
                <w:sz w:val="20"/>
              </w:rPr>
            </w:pPr>
            <w:r>
              <w:rPr>
                <w:sz w:val="20"/>
              </w:rPr>
              <w:t xml:space="preserve">Terence </w:t>
            </w:r>
          </w:p>
        </w:tc>
        <w:tc>
          <w:tcPr>
            <w:tcW w:w="1817" w:type="dxa"/>
            <w:tcBorders>
              <w:top w:val="nil"/>
              <w:left w:val="nil"/>
              <w:bottom w:val="single" w:sz="4" w:space="0" w:color="auto"/>
              <w:right w:val="nil"/>
            </w:tcBorders>
            <w:vAlign w:val="center"/>
          </w:tcPr>
          <w:p w14:paraId="0D17ECE5" w14:textId="77777777" w:rsidR="009D29AA" w:rsidRDefault="009D29AA" w:rsidP="00256208">
            <w:pPr>
              <w:spacing w:after="0"/>
              <w:rPr>
                <w:sz w:val="20"/>
              </w:rPr>
            </w:pPr>
            <w:r>
              <w:rPr>
                <w:sz w:val="20"/>
              </w:rPr>
              <w:t>Murphy</w:t>
            </w:r>
          </w:p>
        </w:tc>
        <w:tc>
          <w:tcPr>
            <w:tcW w:w="837" w:type="dxa"/>
            <w:tcBorders>
              <w:top w:val="nil"/>
              <w:left w:val="nil"/>
              <w:bottom w:val="single" w:sz="4" w:space="0" w:color="auto"/>
              <w:right w:val="nil"/>
            </w:tcBorders>
            <w:vAlign w:val="center"/>
          </w:tcPr>
          <w:p w14:paraId="69E7BC8B" w14:textId="77777777" w:rsidR="009D29AA" w:rsidRDefault="009D29AA" w:rsidP="00256208">
            <w:pPr>
              <w:spacing w:after="0"/>
              <w:rPr>
                <w:sz w:val="20"/>
              </w:rPr>
            </w:pPr>
          </w:p>
        </w:tc>
        <w:tc>
          <w:tcPr>
            <w:tcW w:w="1195" w:type="dxa"/>
            <w:tcBorders>
              <w:top w:val="nil"/>
              <w:left w:val="nil"/>
              <w:bottom w:val="single" w:sz="4" w:space="0" w:color="auto"/>
              <w:right w:val="nil"/>
            </w:tcBorders>
            <w:vAlign w:val="center"/>
          </w:tcPr>
          <w:p w14:paraId="7A3918E7" w14:textId="63FC8825" w:rsidR="009D29AA" w:rsidRDefault="009D29AA" w:rsidP="00256208">
            <w:pPr>
              <w:spacing w:after="0"/>
              <w:rPr>
                <w:sz w:val="20"/>
              </w:rPr>
            </w:pPr>
            <w:r>
              <w:rPr>
                <w:sz w:val="20"/>
              </w:rPr>
              <w:t>PhD</w:t>
            </w:r>
          </w:p>
        </w:tc>
        <w:tc>
          <w:tcPr>
            <w:tcW w:w="1196" w:type="dxa"/>
            <w:tcBorders>
              <w:top w:val="nil"/>
              <w:left w:val="nil"/>
              <w:bottom w:val="single" w:sz="4" w:space="0" w:color="auto"/>
              <w:right w:val="nil"/>
            </w:tcBorders>
            <w:vAlign w:val="center"/>
          </w:tcPr>
          <w:p w14:paraId="7B7D5225" w14:textId="4B597B20" w:rsidR="009D29AA" w:rsidRDefault="00F96E0D" w:rsidP="00256208">
            <w:pPr>
              <w:spacing w:after="0"/>
              <w:rPr>
                <w:sz w:val="20"/>
              </w:rPr>
            </w:pPr>
            <w:r>
              <w:rPr>
                <w:sz w:val="20"/>
              </w:rPr>
              <w:t>1</w:t>
            </w:r>
          </w:p>
        </w:tc>
        <w:tc>
          <w:tcPr>
            <w:tcW w:w="4242" w:type="dxa"/>
            <w:tcBorders>
              <w:top w:val="nil"/>
              <w:left w:val="nil"/>
              <w:bottom w:val="single" w:sz="4" w:space="0" w:color="auto"/>
              <w:right w:val="nil"/>
            </w:tcBorders>
            <w:vAlign w:val="center"/>
          </w:tcPr>
          <w:p w14:paraId="11C55BCA" w14:textId="08E20948" w:rsidR="009D29AA" w:rsidRDefault="008510F4" w:rsidP="00256208">
            <w:pPr>
              <w:spacing w:after="0"/>
              <w:rPr>
                <w:sz w:val="20"/>
              </w:rPr>
            </w:pPr>
            <w:r>
              <w:rPr>
                <w:sz w:val="20"/>
              </w:rPr>
              <w:t>murphyte</w:t>
            </w:r>
            <w:r w:rsidRPr="008510F4">
              <w:rPr>
                <w:sz w:val="20"/>
              </w:rPr>
              <w:t>@ncbi.nlm.nih.gov</w:t>
            </w:r>
          </w:p>
        </w:tc>
        <w:tc>
          <w:tcPr>
            <w:tcW w:w="1544" w:type="dxa"/>
            <w:tcBorders>
              <w:top w:val="nil"/>
              <w:left w:val="nil"/>
              <w:bottom w:val="single" w:sz="4" w:space="0" w:color="auto"/>
              <w:right w:val="nil"/>
            </w:tcBorders>
            <w:vAlign w:val="center"/>
          </w:tcPr>
          <w:p w14:paraId="5B5F2215" w14:textId="77777777" w:rsidR="009D29AA" w:rsidRDefault="009D29AA" w:rsidP="00256208">
            <w:pPr>
              <w:spacing w:after="0"/>
              <w:rPr>
                <w:sz w:val="20"/>
              </w:rPr>
            </w:pPr>
          </w:p>
        </w:tc>
        <w:tc>
          <w:tcPr>
            <w:tcW w:w="1350" w:type="dxa"/>
            <w:tcBorders>
              <w:top w:val="nil"/>
              <w:left w:val="nil"/>
              <w:bottom w:val="single" w:sz="4" w:space="0" w:color="auto"/>
              <w:right w:val="nil"/>
            </w:tcBorders>
            <w:vAlign w:val="center"/>
          </w:tcPr>
          <w:p w14:paraId="6BAB6754" w14:textId="77777777" w:rsidR="009D29AA" w:rsidRDefault="009D29AA" w:rsidP="00256208">
            <w:pPr>
              <w:spacing w:after="0"/>
              <w:rPr>
                <w:sz w:val="20"/>
              </w:rPr>
            </w:pPr>
          </w:p>
        </w:tc>
      </w:tr>
      <w:tr w:rsidR="009D29AA" w14:paraId="4C7AD6E0" w14:textId="77777777" w:rsidTr="008510F4">
        <w:trPr>
          <w:trHeight w:val="432"/>
        </w:trPr>
        <w:tc>
          <w:tcPr>
            <w:tcW w:w="1891" w:type="dxa"/>
            <w:tcBorders>
              <w:top w:val="single" w:sz="4" w:space="0" w:color="auto"/>
              <w:left w:val="nil"/>
              <w:bottom w:val="single" w:sz="4" w:space="0" w:color="auto"/>
              <w:right w:val="nil"/>
            </w:tcBorders>
            <w:vAlign w:val="center"/>
          </w:tcPr>
          <w:p w14:paraId="08CEAB8E" w14:textId="46D8D0E0" w:rsidR="009D29AA" w:rsidRDefault="009D29AA" w:rsidP="00256208">
            <w:pPr>
              <w:spacing w:after="0"/>
              <w:rPr>
                <w:sz w:val="20"/>
              </w:rPr>
            </w:pPr>
            <w:r>
              <w:rPr>
                <w:sz w:val="20"/>
              </w:rPr>
              <w:t>Michael</w:t>
            </w:r>
          </w:p>
        </w:tc>
        <w:tc>
          <w:tcPr>
            <w:tcW w:w="1817" w:type="dxa"/>
            <w:tcBorders>
              <w:top w:val="single" w:sz="4" w:space="0" w:color="auto"/>
              <w:left w:val="nil"/>
              <w:bottom w:val="single" w:sz="4" w:space="0" w:color="auto"/>
              <w:right w:val="nil"/>
            </w:tcBorders>
            <w:vAlign w:val="center"/>
          </w:tcPr>
          <w:p w14:paraId="7B98278C" w14:textId="06D20E1A" w:rsidR="009D29AA" w:rsidRDefault="009D29AA" w:rsidP="00256208">
            <w:pPr>
              <w:spacing w:after="0"/>
              <w:rPr>
                <w:sz w:val="20"/>
              </w:rPr>
            </w:pPr>
            <w:r>
              <w:rPr>
                <w:sz w:val="20"/>
              </w:rPr>
              <w:t>DiCuccio</w:t>
            </w:r>
          </w:p>
        </w:tc>
        <w:tc>
          <w:tcPr>
            <w:tcW w:w="837" w:type="dxa"/>
            <w:tcBorders>
              <w:top w:val="single" w:sz="4" w:space="0" w:color="auto"/>
              <w:left w:val="nil"/>
              <w:bottom w:val="single" w:sz="4" w:space="0" w:color="auto"/>
              <w:right w:val="nil"/>
            </w:tcBorders>
            <w:vAlign w:val="center"/>
          </w:tcPr>
          <w:p w14:paraId="17321235" w14:textId="77777777" w:rsidR="009D29AA" w:rsidRDefault="009D29AA" w:rsidP="00256208">
            <w:pPr>
              <w:spacing w:after="0"/>
              <w:rPr>
                <w:sz w:val="20"/>
              </w:rPr>
            </w:pPr>
          </w:p>
        </w:tc>
        <w:tc>
          <w:tcPr>
            <w:tcW w:w="1195" w:type="dxa"/>
            <w:tcBorders>
              <w:top w:val="single" w:sz="4" w:space="0" w:color="auto"/>
              <w:left w:val="nil"/>
              <w:bottom w:val="single" w:sz="4" w:space="0" w:color="auto"/>
              <w:right w:val="nil"/>
            </w:tcBorders>
            <w:vAlign w:val="center"/>
          </w:tcPr>
          <w:p w14:paraId="76F147C1" w14:textId="1A0ABFF0" w:rsidR="009D29AA" w:rsidRDefault="009D29AA" w:rsidP="00256208">
            <w:pPr>
              <w:spacing w:after="0"/>
              <w:rPr>
                <w:sz w:val="20"/>
              </w:rPr>
            </w:pPr>
            <w:r>
              <w:rPr>
                <w:sz w:val="20"/>
              </w:rPr>
              <w:t>MD</w:t>
            </w:r>
          </w:p>
        </w:tc>
        <w:tc>
          <w:tcPr>
            <w:tcW w:w="1196" w:type="dxa"/>
            <w:tcBorders>
              <w:top w:val="single" w:sz="4" w:space="0" w:color="auto"/>
              <w:left w:val="nil"/>
              <w:bottom w:val="single" w:sz="4" w:space="0" w:color="auto"/>
              <w:right w:val="nil"/>
            </w:tcBorders>
            <w:vAlign w:val="center"/>
          </w:tcPr>
          <w:p w14:paraId="215AA26A" w14:textId="0CA60FF3" w:rsidR="009D29AA" w:rsidRDefault="00F96E0D" w:rsidP="00256208">
            <w:pPr>
              <w:spacing w:after="0"/>
              <w:rPr>
                <w:sz w:val="20"/>
              </w:rPr>
            </w:pPr>
            <w:r>
              <w:rPr>
                <w:sz w:val="20"/>
              </w:rPr>
              <w:t>1</w:t>
            </w:r>
          </w:p>
        </w:tc>
        <w:tc>
          <w:tcPr>
            <w:tcW w:w="4242" w:type="dxa"/>
            <w:tcBorders>
              <w:top w:val="single" w:sz="4" w:space="0" w:color="auto"/>
              <w:left w:val="nil"/>
              <w:bottom w:val="single" w:sz="4" w:space="0" w:color="auto"/>
              <w:right w:val="nil"/>
            </w:tcBorders>
            <w:vAlign w:val="center"/>
          </w:tcPr>
          <w:p w14:paraId="2D15742E" w14:textId="0CA05AB0" w:rsidR="009D29AA" w:rsidRDefault="008510F4" w:rsidP="00256208">
            <w:pPr>
              <w:spacing w:after="0"/>
              <w:rPr>
                <w:sz w:val="20"/>
              </w:rPr>
            </w:pPr>
            <w:r>
              <w:rPr>
                <w:sz w:val="20"/>
              </w:rPr>
              <w:t>dicuccio</w:t>
            </w:r>
            <w:r w:rsidRPr="008510F4">
              <w:rPr>
                <w:sz w:val="20"/>
              </w:rPr>
              <w:t>@ncbi.nlm.nih.gov</w:t>
            </w:r>
          </w:p>
        </w:tc>
        <w:tc>
          <w:tcPr>
            <w:tcW w:w="1544" w:type="dxa"/>
            <w:tcBorders>
              <w:top w:val="single" w:sz="4" w:space="0" w:color="auto"/>
              <w:left w:val="nil"/>
              <w:bottom w:val="single" w:sz="4" w:space="0" w:color="auto"/>
              <w:right w:val="nil"/>
            </w:tcBorders>
            <w:vAlign w:val="center"/>
          </w:tcPr>
          <w:p w14:paraId="2B16E0FA" w14:textId="77777777" w:rsidR="009D29AA" w:rsidRDefault="009D29AA" w:rsidP="00256208">
            <w:pPr>
              <w:spacing w:after="0"/>
              <w:rPr>
                <w:sz w:val="20"/>
              </w:rPr>
            </w:pPr>
          </w:p>
        </w:tc>
        <w:tc>
          <w:tcPr>
            <w:tcW w:w="1350" w:type="dxa"/>
            <w:tcBorders>
              <w:top w:val="single" w:sz="4" w:space="0" w:color="auto"/>
              <w:left w:val="nil"/>
              <w:bottom w:val="single" w:sz="4" w:space="0" w:color="auto"/>
              <w:right w:val="nil"/>
            </w:tcBorders>
            <w:vAlign w:val="center"/>
          </w:tcPr>
          <w:p w14:paraId="27C1AF9D" w14:textId="77777777" w:rsidR="009D29AA" w:rsidRDefault="009D29AA" w:rsidP="00256208">
            <w:pPr>
              <w:spacing w:after="0"/>
              <w:rPr>
                <w:sz w:val="20"/>
              </w:rPr>
            </w:pPr>
          </w:p>
        </w:tc>
      </w:tr>
      <w:tr w:rsidR="009D29AA" w14:paraId="421BBB97" w14:textId="77777777" w:rsidTr="008510F4">
        <w:trPr>
          <w:trHeight w:val="432"/>
        </w:trPr>
        <w:tc>
          <w:tcPr>
            <w:tcW w:w="1891" w:type="dxa"/>
            <w:tcBorders>
              <w:top w:val="single" w:sz="4" w:space="0" w:color="auto"/>
              <w:left w:val="nil"/>
              <w:bottom w:val="single" w:sz="4" w:space="0" w:color="auto"/>
              <w:right w:val="nil"/>
            </w:tcBorders>
            <w:vAlign w:val="center"/>
          </w:tcPr>
          <w:p w14:paraId="179A9D46" w14:textId="5E898896" w:rsidR="009D29AA" w:rsidRDefault="009D29AA" w:rsidP="00256208">
            <w:pPr>
              <w:spacing w:after="0"/>
              <w:rPr>
                <w:sz w:val="20"/>
              </w:rPr>
            </w:pPr>
            <w:r>
              <w:rPr>
                <w:sz w:val="20"/>
              </w:rPr>
              <w:t>Paul</w:t>
            </w:r>
          </w:p>
        </w:tc>
        <w:tc>
          <w:tcPr>
            <w:tcW w:w="1817" w:type="dxa"/>
            <w:tcBorders>
              <w:top w:val="single" w:sz="4" w:space="0" w:color="auto"/>
              <w:left w:val="nil"/>
              <w:bottom w:val="single" w:sz="4" w:space="0" w:color="auto"/>
              <w:right w:val="nil"/>
            </w:tcBorders>
            <w:vAlign w:val="center"/>
          </w:tcPr>
          <w:p w14:paraId="21903BB5" w14:textId="72716789" w:rsidR="009D29AA" w:rsidRDefault="009D29AA" w:rsidP="00256208">
            <w:pPr>
              <w:spacing w:after="0"/>
              <w:rPr>
                <w:sz w:val="20"/>
              </w:rPr>
            </w:pPr>
            <w:r>
              <w:rPr>
                <w:sz w:val="20"/>
              </w:rPr>
              <w:t>Kitts</w:t>
            </w:r>
          </w:p>
        </w:tc>
        <w:tc>
          <w:tcPr>
            <w:tcW w:w="837" w:type="dxa"/>
            <w:tcBorders>
              <w:top w:val="single" w:sz="4" w:space="0" w:color="auto"/>
              <w:left w:val="nil"/>
              <w:bottom w:val="single" w:sz="4" w:space="0" w:color="auto"/>
              <w:right w:val="nil"/>
            </w:tcBorders>
            <w:vAlign w:val="center"/>
          </w:tcPr>
          <w:p w14:paraId="354F47DA" w14:textId="77777777" w:rsidR="009D29AA" w:rsidRDefault="009D29AA" w:rsidP="00256208">
            <w:pPr>
              <w:spacing w:after="0"/>
              <w:rPr>
                <w:sz w:val="20"/>
              </w:rPr>
            </w:pPr>
          </w:p>
        </w:tc>
        <w:tc>
          <w:tcPr>
            <w:tcW w:w="1195" w:type="dxa"/>
            <w:tcBorders>
              <w:top w:val="single" w:sz="4" w:space="0" w:color="auto"/>
              <w:left w:val="nil"/>
              <w:bottom w:val="single" w:sz="4" w:space="0" w:color="auto"/>
              <w:right w:val="nil"/>
            </w:tcBorders>
            <w:vAlign w:val="center"/>
          </w:tcPr>
          <w:p w14:paraId="3D843968" w14:textId="17D0A0F1" w:rsidR="009D29AA" w:rsidRDefault="009D29AA" w:rsidP="00256208">
            <w:pPr>
              <w:spacing w:after="0"/>
              <w:rPr>
                <w:sz w:val="20"/>
              </w:rPr>
            </w:pPr>
            <w:r>
              <w:rPr>
                <w:sz w:val="20"/>
              </w:rPr>
              <w:t>PhD</w:t>
            </w:r>
          </w:p>
        </w:tc>
        <w:tc>
          <w:tcPr>
            <w:tcW w:w="1196" w:type="dxa"/>
            <w:tcBorders>
              <w:top w:val="single" w:sz="4" w:space="0" w:color="auto"/>
              <w:left w:val="nil"/>
              <w:bottom w:val="single" w:sz="4" w:space="0" w:color="auto"/>
              <w:right w:val="nil"/>
            </w:tcBorders>
            <w:vAlign w:val="center"/>
          </w:tcPr>
          <w:p w14:paraId="149B2200" w14:textId="7FC9A203" w:rsidR="009D29AA" w:rsidRDefault="00F96E0D" w:rsidP="00256208">
            <w:pPr>
              <w:spacing w:after="0"/>
              <w:rPr>
                <w:sz w:val="20"/>
              </w:rPr>
            </w:pPr>
            <w:r>
              <w:rPr>
                <w:sz w:val="20"/>
              </w:rPr>
              <w:t>1</w:t>
            </w:r>
          </w:p>
        </w:tc>
        <w:tc>
          <w:tcPr>
            <w:tcW w:w="4242" w:type="dxa"/>
            <w:tcBorders>
              <w:top w:val="single" w:sz="4" w:space="0" w:color="auto"/>
              <w:left w:val="nil"/>
              <w:bottom w:val="single" w:sz="4" w:space="0" w:color="auto"/>
              <w:right w:val="nil"/>
            </w:tcBorders>
            <w:vAlign w:val="center"/>
          </w:tcPr>
          <w:p w14:paraId="1E741DF6" w14:textId="3673B0F3" w:rsidR="009D29AA" w:rsidRDefault="008510F4" w:rsidP="00256208">
            <w:pPr>
              <w:spacing w:after="0"/>
              <w:rPr>
                <w:sz w:val="20"/>
              </w:rPr>
            </w:pPr>
            <w:r>
              <w:rPr>
                <w:sz w:val="20"/>
              </w:rPr>
              <w:t>kitts</w:t>
            </w:r>
            <w:r w:rsidRPr="008510F4">
              <w:rPr>
                <w:sz w:val="20"/>
              </w:rPr>
              <w:t>@ncbi.nlm.nih.gov</w:t>
            </w:r>
          </w:p>
        </w:tc>
        <w:tc>
          <w:tcPr>
            <w:tcW w:w="1544" w:type="dxa"/>
            <w:tcBorders>
              <w:top w:val="single" w:sz="4" w:space="0" w:color="auto"/>
              <w:left w:val="nil"/>
              <w:bottom w:val="single" w:sz="4" w:space="0" w:color="auto"/>
              <w:right w:val="nil"/>
            </w:tcBorders>
            <w:vAlign w:val="center"/>
          </w:tcPr>
          <w:p w14:paraId="67AE368A" w14:textId="77777777" w:rsidR="009D29AA" w:rsidRDefault="009D29AA" w:rsidP="00256208">
            <w:pPr>
              <w:spacing w:after="0"/>
              <w:rPr>
                <w:sz w:val="20"/>
              </w:rPr>
            </w:pPr>
          </w:p>
        </w:tc>
        <w:tc>
          <w:tcPr>
            <w:tcW w:w="1350" w:type="dxa"/>
            <w:tcBorders>
              <w:top w:val="single" w:sz="4" w:space="0" w:color="auto"/>
              <w:left w:val="nil"/>
              <w:bottom w:val="single" w:sz="4" w:space="0" w:color="auto"/>
              <w:right w:val="nil"/>
            </w:tcBorders>
            <w:vAlign w:val="center"/>
          </w:tcPr>
          <w:p w14:paraId="216F339C" w14:textId="77777777" w:rsidR="009D29AA" w:rsidRDefault="009D29AA" w:rsidP="00256208">
            <w:pPr>
              <w:spacing w:after="0"/>
              <w:rPr>
                <w:sz w:val="20"/>
              </w:rPr>
            </w:pPr>
          </w:p>
        </w:tc>
      </w:tr>
    </w:tbl>
    <w:p w14:paraId="60A2216F" w14:textId="77777777" w:rsidR="004F39FD" w:rsidRDefault="004F39FD" w:rsidP="004F39FD"/>
    <w:p w14:paraId="46E9933D" w14:textId="77777777" w:rsidR="00EE029E" w:rsidRDefault="003E2CF2" w:rsidP="00EE029E">
      <w:pPr>
        <w:pStyle w:val="Comment"/>
      </w:pPr>
      <w:r>
        <w:t>Use one row for each author. List authors in order of appearance in the document. Add rows to add more authors.</w:t>
      </w:r>
    </w:p>
    <w:p w14:paraId="09C264EE" w14:textId="77777777" w:rsidR="006F7DD0" w:rsidRDefault="006F7DD0" w:rsidP="006F7DD0">
      <w:pPr>
        <w:pStyle w:val="Comment"/>
      </w:pPr>
      <w:r>
        <w:t>NCBI Authors: For Affiliation, use NCBI.</w:t>
      </w:r>
    </w:p>
    <w:tbl>
      <w:tblPr>
        <w:tblW w:w="10188" w:type="dxa"/>
        <w:tblInd w:w="108" w:type="dxa"/>
        <w:tblLook w:val="0020" w:firstRow="1" w:lastRow="0" w:firstColumn="0" w:lastColumn="0" w:noHBand="0" w:noVBand="0"/>
      </w:tblPr>
      <w:tblGrid>
        <w:gridCol w:w="2124"/>
        <w:gridCol w:w="8064"/>
      </w:tblGrid>
      <w:tr w:rsidR="00F96E0D" w:rsidRPr="00C80605" w14:paraId="765A5CD7" w14:textId="77777777" w:rsidTr="00F96E0D">
        <w:trPr>
          <w:cantSplit/>
          <w:trHeight w:val="432"/>
        </w:trPr>
        <w:tc>
          <w:tcPr>
            <w:tcW w:w="10188" w:type="dxa"/>
            <w:gridSpan w:val="2"/>
            <w:tcBorders>
              <w:top w:val="nil"/>
              <w:left w:val="nil"/>
              <w:bottom w:val="single" w:sz="12" w:space="0" w:color="990000"/>
              <w:right w:val="nil"/>
            </w:tcBorders>
            <w:shd w:val="clear" w:color="auto" w:fill="E6E6E6"/>
            <w:vAlign w:val="center"/>
          </w:tcPr>
          <w:p w14:paraId="7609F073" w14:textId="77777777" w:rsidR="00F96E0D" w:rsidRPr="00C80605" w:rsidRDefault="00F96E0D" w:rsidP="00F96E0D">
            <w:pPr>
              <w:spacing w:after="0"/>
              <w:rPr>
                <w:b/>
                <w:sz w:val="20"/>
              </w:rPr>
            </w:pPr>
            <w:r w:rsidRPr="00C80605">
              <w:rPr>
                <w:b/>
                <w:sz w:val="20"/>
              </w:rPr>
              <w:t>Affiliations</w:t>
            </w:r>
          </w:p>
        </w:tc>
      </w:tr>
      <w:tr w:rsidR="00F96E0D" w:rsidRPr="00C80605" w14:paraId="6240704E" w14:textId="77777777" w:rsidTr="00F96E0D">
        <w:trPr>
          <w:trHeight w:val="432"/>
        </w:trPr>
        <w:tc>
          <w:tcPr>
            <w:tcW w:w="2124" w:type="dxa"/>
            <w:tcBorders>
              <w:top w:val="nil"/>
              <w:left w:val="nil"/>
              <w:bottom w:val="single" w:sz="4" w:space="0" w:color="auto"/>
              <w:right w:val="nil"/>
            </w:tcBorders>
            <w:vAlign w:val="bottom"/>
          </w:tcPr>
          <w:p w14:paraId="03A8A80F" w14:textId="77777777" w:rsidR="00F96E0D" w:rsidRPr="00C80605" w:rsidRDefault="00F96E0D" w:rsidP="00F96E0D">
            <w:pPr>
              <w:spacing w:after="0"/>
              <w:rPr>
                <w:sz w:val="20"/>
              </w:rPr>
            </w:pPr>
            <w:r w:rsidRPr="00C80605">
              <w:rPr>
                <w:sz w:val="20"/>
              </w:rPr>
              <w:t>Label</w:t>
            </w:r>
          </w:p>
        </w:tc>
        <w:tc>
          <w:tcPr>
            <w:tcW w:w="8064" w:type="dxa"/>
            <w:tcBorders>
              <w:top w:val="nil"/>
              <w:left w:val="nil"/>
              <w:bottom w:val="single" w:sz="4" w:space="0" w:color="auto"/>
              <w:right w:val="nil"/>
            </w:tcBorders>
            <w:vAlign w:val="bottom"/>
          </w:tcPr>
          <w:p w14:paraId="7843F5FA" w14:textId="77777777" w:rsidR="00F96E0D" w:rsidRPr="00C80605" w:rsidRDefault="00F96E0D" w:rsidP="00F96E0D">
            <w:pPr>
              <w:spacing w:after="0"/>
              <w:rPr>
                <w:sz w:val="20"/>
              </w:rPr>
            </w:pPr>
            <w:r w:rsidRPr="00C80605">
              <w:rPr>
                <w:sz w:val="20"/>
              </w:rPr>
              <w:t>Organization</w:t>
            </w:r>
          </w:p>
        </w:tc>
      </w:tr>
      <w:tr w:rsidR="00F96E0D" w:rsidRPr="00C80605" w14:paraId="0071FED6" w14:textId="77777777" w:rsidTr="00F96E0D">
        <w:trPr>
          <w:trHeight w:val="432"/>
        </w:trPr>
        <w:tc>
          <w:tcPr>
            <w:tcW w:w="2124" w:type="dxa"/>
            <w:tcBorders>
              <w:top w:val="nil"/>
              <w:left w:val="nil"/>
              <w:bottom w:val="single" w:sz="4" w:space="0" w:color="auto"/>
              <w:right w:val="nil"/>
            </w:tcBorders>
            <w:vAlign w:val="center"/>
          </w:tcPr>
          <w:p w14:paraId="5D213D2C" w14:textId="622CDC20" w:rsidR="00F96E0D" w:rsidRPr="00C80605" w:rsidRDefault="00F96E0D" w:rsidP="00F96E0D">
            <w:pPr>
              <w:spacing w:after="0"/>
              <w:rPr>
                <w:sz w:val="20"/>
              </w:rPr>
            </w:pPr>
            <w:r>
              <w:rPr>
                <w:sz w:val="20"/>
              </w:rPr>
              <w:t>1</w:t>
            </w:r>
          </w:p>
        </w:tc>
        <w:tc>
          <w:tcPr>
            <w:tcW w:w="8064" w:type="dxa"/>
            <w:tcBorders>
              <w:top w:val="nil"/>
              <w:left w:val="nil"/>
              <w:bottom w:val="single" w:sz="4" w:space="0" w:color="auto"/>
              <w:right w:val="nil"/>
            </w:tcBorders>
            <w:vAlign w:val="center"/>
          </w:tcPr>
          <w:p w14:paraId="5F349CD8" w14:textId="6E059728" w:rsidR="00F96E0D" w:rsidRPr="00C80605" w:rsidRDefault="00F96E0D" w:rsidP="00F96E0D">
            <w:pPr>
              <w:spacing w:after="0"/>
              <w:rPr>
                <w:sz w:val="20"/>
              </w:rPr>
            </w:pPr>
            <w:r>
              <w:rPr>
                <w:sz w:val="20"/>
              </w:rPr>
              <w:t>NCBI</w:t>
            </w:r>
          </w:p>
        </w:tc>
      </w:tr>
      <w:tr w:rsidR="00F96E0D" w:rsidRPr="00C80605" w14:paraId="43685C6D" w14:textId="77777777" w:rsidTr="00F96E0D">
        <w:trPr>
          <w:trHeight w:val="432"/>
        </w:trPr>
        <w:tc>
          <w:tcPr>
            <w:tcW w:w="2124" w:type="dxa"/>
            <w:tcBorders>
              <w:top w:val="nil"/>
              <w:left w:val="nil"/>
              <w:bottom w:val="single" w:sz="4" w:space="0" w:color="auto"/>
              <w:right w:val="nil"/>
            </w:tcBorders>
            <w:vAlign w:val="center"/>
          </w:tcPr>
          <w:p w14:paraId="304A0E97" w14:textId="77777777" w:rsidR="00F96E0D" w:rsidRPr="00C80605" w:rsidRDefault="00F96E0D" w:rsidP="00F96E0D">
            <w:pPr>
              <w:spacing w:after="0"/>
              <w:rPr>
                <w:sz w:val="20"/>
              </w:rPr>
            </w:pPr>
          </w:p>
        </w:tc>
        <w:tc>
          <w:tcPr>
            <w:tcW w:w="8064" w:type="dxa"/>
            <w:tcBorders>
              <w:top w:val="nil"/>
              <w:left w:val="nil"/>
              <w:bottom w:val="single" w:sz="4" w:space="0" w:color="auto"/>
              <w:right w:val="nil"/>
            </w:tcBorders>
            <w:vAlign w:val="center"/>
          </w:tcPr>
          <w:p w14:paraId="241E8F33" w14:textId="77777777" w:rsidR="00F96E0D" w:rsidRPr="00C80605" w:rsidRDefault="00F96E0D" w:rsidP="00F96E0D">
            <w:pPr>
              <w:spacing w:after="0"/>
              <w:rPr>
                <w:sz w:val="20"/>
              </w:rPr>
            </w:pPr>
          </w:p>
        </w:tc>
      </w:tr>
      <w:tr w:rsidR="00F96E0D" w:rsidRPr="00C80605" w14:paraId="3E72C1B3" w14:textId="77777777" w:rsidTr="00F96E0D">
        <w:trPr>
          <w:trHeight w:val="432"/>
        </w:trPr>
        <w:tc>
          <w:tcPr>
            <w:tcW w:w="2124" w:type="dxa"/>
            <w:tcBorders>
              <w:top w:val="single" w:sz="4" w:space="0" w:color="auto"/>
              <w:left w:val="nil"/>
              <w:bottom w:val="single" w:sz="4" w:space="0" w:color="auto"/>
              <w:right w:val="nil"/>
            </w:tcBorders>
            <w:vAlign w:val="center"/>
          </w:tcPr>
          <w:p w14:paraId="15AE88F8" w14:textId="77777777" w:rsidR="00F96E0D" w:rsidRPr="00C80605" w:rsidRDefault="00F96E0D" w:rsidP="00F96E0D">
            <w:pPr>
              <w:spacing w:after="0"/>
              <w:rPr>
                <w:sz w:val="20"/>
              </w:rPr>
            </w:pPr>
          </w:p>
        </w:tc>
        <w:tc>
          <w:tcPr>
            <w:tcW w:w="8064" w:type="dxa"/>
            <w:tcBorders>
              <w:top w:val="single" w:sz="4" w:space="0" w:color="auto"/>
              <w:left w:val="nil"/>
              <w:bottom w:val="single" w:sz="4" w:space="0" w:color="auto"/>
              <w:right w:val="nil"/>
            </w:tcBorders>
            <w:vAlign w:val="center"/>
          </w:tcPr>
          <w:p w14:paraId="63C95946" w14:textId="77777777" w:rsidR="00F96E0D" w:rsidRPr="00C80605" w:rsidRDefault="00F96E0D" w:rsidP="00F96E0D">
            <w:pPr>
              <w:spacing w:after="0"/>
              <w:rPr>
                <w:sz w:val="20"/>
              </w:rPr>
            </w:pPr>
          </w:p>
        </w:tc>
      </w:tr>
      <w:tr w:rsidR="00F96E0D" w:rsidRPr="00C80605" w14:paraId="0D211AF1" w14:textId="77777777" w:rsidTr="00F96E0D">
        <w:trPr>
          <w:trHeight w:val="432"/>
        </w:trPr>
        <w:tc>
          <w:tcPr>
            <w:tcW w:w="2124" w:type="dxa"/>
            <w:tcBorders>
              <w:top w:val="single" w:sz="4" w:space="0" w:color="auto"/>
              <w:left w:val="nil"/>
              <w:bottom w:val="single" w:sz="4" w:space="0" w:color="auto"/>
              <w:right w:val="nil"/>
            </w:tcBorders>
            <w:vAlign w:val="center"/>
          </w:tcPr>
          <w:p w14:paraId="537DBFC0" w14:textId="77777777" w:rsidR="00F96E0D" w:rsidRPr="00C80605" w:rsidRDefault="00F96E0D" w:rsidP="00F96E0D">
            <w:pPr>
              <w:spacing w:after="0"/>
              <w:rPr>
                <w:sz w:val="20"/>
              </w:rPr>
            </w:pPr>
          </w:p>
        </w:tc>
        <w:tc>
          <w:tcPr>
            <w:tcW w:w="8064" w:type="dxa"/>
            <w:tcBorders>
              <w:top w:val="single" w:sz="4" w:space="0" w:color="auto"/>
              <w:left w:val="nil"/>
              <w:bottom w:val="single" w:sz="4" w:space="0" w:color="auto"/>
              <w:right w:val="nil"/>
            </w:tcBorders>
            <w:vAlign w:val="center"/>
          </w:tcPr>
          <w:p w14:paraId="1A320CC8" w14:textId="77777777" w:rsidR="00F96E0D" w:rsidRPr="00C80605" w:rsidRDefault="00F96E0D" w:rsidP="00F96E0D">
            <w:pPr>
              <w:spacing w:after="0"/>
              <w:rPr>
                <w:sz w:val="20"/>
              </w:rPr>
            </w:pPr>
          </w:p>
        </w:tc>
      </w:tr>
    </w:tbl>
    <w:p w14:paraId="4A135190" w14:textId="77777777" w:rsidR="00F96E0D" w:rsidRPr="00C80605" w:rsidRDefault="00F96E0D" w:rsidP="00F96E0D">
      <w:pPr>
        <w:pStyle w:val="Comment"/>
      </w:pPr>
      <w:r w:rsidRPr="00C80605">
        <w:t>Use one row for each affiliation. Link affiliations by label to the respective author. Add rows to add more affiliations.</w:t>
      </w:r>
    </w:p>
    <w:p w14:paraId="117CA671" w14:textId="77777777" w:rsidR="00F96E0D" w:rsidRPr="00F96E0D" w:rsidRDefault="00F96E0D" w:rsidP="00F96E0D"/>
    <w:p w14:paraId="01A6A2CE" w14:textId="77777777" w:rsidR="006F7DD0" w:rsidRPr="006F7DD0" w:rsidRDefault="006F7DD0" w:rsidP="006F7DD0"/>
    <w:p w14:paraId="70C06FFB" w14:textId="77777777" w:rsidR="003E2CF2" w:rsidRDefault="003E2CF2" w:rsidP="003E2CF2">
      <w:pPr>
        <w:sectPr w:rsidR="003E2CF2" w:rsidSect="00AD2F0B">
          <w:type w:val="continuous"/>
          <w:pgSz w:w="12240" w:h="15840" w:code="1"/>
          <w:pgMar w:top="1080" w:right="1080" w:bottom="1080" w:left="1080" w:header="0" w:footer="0" w:gutter="0"/>
          <w:cols w:space="720"/>
          <w:docGrid w:linePitch="326"/>
        </w:sectPr>
      </w:pPr>
    </w:p>
    <w:p w14:paraId="28AB6FBF" w14:textId="493D3F7E" w:rsidR="00696E5C" w:rsidRDefault="00C74DE4" w:rsidP="00460FFE">
      <w:pPr>
        <w:pStyle w:val="Heading1"/>
      </w:pPr>
      <w:r>
        <w:t>Eukaryotic Genome Annotation Pipeline</w:t>
      </w:r>
    </w:p>
    <w:p w14:paraId="37EE4EB8" w14:textId="77777777" w:rsidR="00660C47" w:rsidRDefault="00660C47" w:rsidP="00660C47">
      <w:pPr>
        <w:pStyle w:val="Heading2"/>
        <w:rPr>
          <w:color w:val="1F497D" w:themeColor="text2"/>
        </w:rPr>
      </w:pPr>
      <w:r w:rsidRPr="009B0AC2">
        <w:t>Scope</w:t>
      </w:r>
    </w:p>
    <w:p w14:paraId="06F55179" w14:textId="51862845" w:rsidR="00B34F4F" w:rsidRDefault="00460FFE" w:rsidP="00B34F4F">
      <w:r>
        <w:t xml:space="preserve">The NCBI </w:t>
      </w:r>
      <w:r w:rsidR="00544B51">
        <w:t>Eukaryotic Genome Annotation Pipeline</w:t>
      </w:r>
      <w:r>
        <w:t xml:space="preserve"> </w:t>
      </w:r>
      <w:r w:rsidR="00FC6D96">
        <w:t>is an automated pipeline producing annotation of coding and non-coding genes, transcripts</w:t>
      </w:r>
      <w:r w:rsidR="00406182">
        <w:t>,</w:t>
      </w:r>
      <w:r w:rsidR="00D07B58">
        <w:t xml:space="preserve"> and</w:t>
      </w:r>
      <w:r w:rsidR="00FC6D96">
        <w:t xml:space="preserve"> proteins on finished and </w:t>
      </w:r>
      <w:r w:rsidR="00FC6D96">
        <w:lastRenderedPageBreak/>
        <w:t xml:space="preserve">unfinished public genome assemblies. It </w:t>
      </w:r>
      <w:r>
        <w:t>provides content for various NCBI resources including Nucleotide, Protein, BLAST, Gene</w:t>
      </w:r>
      <w:r w:rsidR="00406182">
        <w:t>,</w:t>
      </w:r>
      <w:r>
        <w:t xml:space="preserve"> and</w:t>
      </w:r>
      <w:r w:rsidR="00544B51">
        <w:t xml:space="preserve"> the Map Viewer genome brow</w:t>
      </w:r>
      <w:r w:rsidR="00C90F9D">
        <w:t>ser</w:t>
      </w:r>
      <w:r w:rsidR="00B34F4F">
        <w:t>.</w:t>
      </w:r>
      <w:r w:rsidR="00B34F4F" w:rsidRPr="007B2D33">
        <w:t xml:space="preserve"> </w:t>
      </w:r>
      <w:r w:rsidR="00B34F4F">
        <w:t xml:space="preserve">The pipeline uses a modular framework for the execution of all annotation tasks from the fetching of raw and curated data from public repositories (sequence and </w:t>
      </w:r>
      <w:hyperlink r:id="rId11" w:history="1">
        <w:r w:rsidR="00B34F4F" w:rsidRPr="00DB1CC3">
          <w:rPr>
            <w:rStyle w:val="Hyperlink"/>
          </w:rPr>
          <w:t>Assembly</w:t>
        </w:r>
      </w:hyperlink>
      <w:r w:rsidR="00B34F4F">
        <w:t xml:space="preserve"> databases) t</w:t>
      </w:r>
      <w:r w:rsidR="007333FF">
        <w:t>hrough</w:t>
      </w:r>
      <w:r w:rsidR="00B34F4F">
        <w:t xml:space="preserve"> the alignment of sequences and the prediction of genes, to the submission of the accessioned </w:t>
      </w:r>
      <w:r w:rsidR="00E649F3">
        <w:t xml:space="preserve">and named </w:t>
      </w:r>
      <w:r w:rsidR="00B34F4F">
        <w:t>annotation products to public databases.</w:t>
      </w:r>
    </w:p>
    <w:p w14:paraId="5B2AF6C5" w14:textId="24F4E325" w:rsidR="00F51A0F" w:rsidRDefault="00460FFE" w:rsidP="00460FFE">
      <w:r>
        <w:t xml:space="preserve">Core components of the pipeline are </w:t>
      </w:r>
      <w:r w:rsidR="00B34F4F">
        <w:t xml:space="preserve">the </w:t>
      </w:r>
      <w:r>
        <w:t>alig</w:t>
      </w:r>
      <w:r w:rsidR="00B34F4F">
        <w:t xml:space="preserve">nment programs </w:t>
      </w:r>
      <w:r>
        <w:t xml:space="preserve">Splign </w:t>
      </w:r>
      <w:r w:rsidR="00B34F4F">
        <w:t>(1) and ProSplign,</w:t>
      </w:r>
      <w:r>
        <w:t xml:space="preserve"> and </w:t>
      </w:r>
      <w:r w:rsidR="00116DD1">
        <w:t xml:space="preserve">Gnomon, a gene prediction program combining information from alignments of experimental evidence and </w:t>
      </w:r>
      <w:r w:rsidR="007B2D33">
        <w:t xml:space="preserve">from models produced </w:t>
      </w:r>
      <w:r w:rsidR="006E103B" w:rsidRPr="006E103B">
        <w:rPr>
          <w:i/>
        </w:rPr>
        <w:t>ab initio</w:t>
      </w:r>
      <w:r w:rsidR="007B2D33">
        <w:t xml:space="preserve"> with </w:t>
      </w:r>
      <w:r>
        <w:t xml:space="preserve">an HMM-based </w:t>
      </w:r>
      <w:r w:rsidR="00116DD1">
        <w:t>algorithm</w:t>
      </w:r>
      <w:r w:rsidR="00F5412B">
        <w:t>.</w:t>
      </w:r>
    </w:p>
    <w:p w14:paraId="3B75FC81" w14:textId="22C3C532" w:rsidR="00116DD1" w:rsidRDefault="00116DD1" w:rsidP="00460FFE">
      <w:r>
        <w:t>The annotation pipeline produces comprehensive sets of genes</w:t>
      </w:r>
      <w:r w:rsidR="00C7541D">
        <w:t>,</w:t>
      </w:r>
      <w:r w:rsidR="00DB1CC3">
        <w:t xml:space="preserve"> </w:t>
      </w:r>
      <w:r w:rsidR="00C7541D">
        <w:t>transcripts</w:t>
      </w:r>
      <w:r w:rsidR="00406182">
        <w:t>,</w:t>
      </w:r>
      <w:r w:rsidR="00C7541D">
        <w:t xml:space="preserve"> and proteins</w:t>
      </w:r>
      <w:r>
        <w:t xml:space="preserve"> derived from multiple sources</w:t>
      </w:r>
      <w:r w:rsidR="007B2D33">
        <w:t>,</w:t>
      </w:r>
      <w:r>
        <w:t xml:space="preserve"> depending on the data available. In order of preference, the following sources are used:</w:t>
      </w:r>
    </w:p>
    <w:p w14:paraId="260C9197" w14:textId="001DD0F8" w:rsidR="00116DD1" w:rsidRPr="00C7541D" w:rsidRDefault="00116DD1">
      <w:pPr>
        <w:pStyle w:val="ListParagraph"/>
        <w:numPr>
          <w:ilvl w:val="0"/>
          <w:numId w:val="7"/>
        </w:numPr>
        <w:rPr>
          <w:rFonts w:ascii="Arial" w:hAnsi="Arial" w:cs="Arial"/>
        </w:rPr>
      </w:pPr>
      <w:r w:rsidRPr="007B2D33">
        <w:rPr>
          <w:rFonts w:ascii="Arial" w:hAnsi="Arial" w:cs="Arial"/>
        </w:rPr>
        <w:t>RefSeq</w:t>
      </w:r>
      <w:r w:rsidR="005C4DDC">
        <w:rPr>
          <w:rFonts w:ascii="Arial" w:hAnsi="Arial" w:cs="Arial"/>
        </w:rPr>
        <w:t xml:space="preserve"> </w:t>
      </w:r>
      <w:r w:rsidRPr="007B2D33">
        <w:rPr>
          <w:rFonts w:ascii="Arial" w:hAnsi="Arial" w:cs="Arial"/>
        </w:rPr>
        <w:t>curated annotated genomic sequences</w:t>
      </w:r>
      <w:r w:rsidR="00B34F4F">
        <w:rPr>
          <w:rFonts w:ascii="Arial" w:hAnsi="Arial" w:cs="Arial"/>
        </w:rPr>
        <w:t xml:space="preserve"> (2)</w:t>
      </w:r>
      <w:r w:rsidR="00406182">
        <w:rPr>
          <w:rFonts w:ascii="Arial" w:hAnsi="Arial" w:cs="Arial"/>
        </w:rPr>
        <w:t>,</w:t>
      </w:r>
      <w:r w:rsidR="00E649F3">
        <w:rPr>
          <w:rFonts w:ascii="Arial" w:hAnsi="Arial" w:cs="Arial"/>
        </w:rPr>
        <w:t xml:space="preserve"> such as the </w:t>
      </w:r>
      <w:r w:rsidR="00E649F3" w:rsidRPr="00E649F3">
        <w:rPr>
          <w:rFonts w:ascii="Arial" w:hAnsi="Arial" w:cs="Arial"/>
        </w:rPr>
        <w:t>human beta globin gene cluster located on chromosome</w:t>
      </w:r>
      <w:r w:rsidR="00E649F3" w:rsidRPr="00C7541D">
        <w:rPr>
          <w:rFonts w:ascii="Arial" w:hAnsi="Arial" w:cs="Arial"/>
        </w:rPr>
        <w:t xml:space="preserve"> 11</w:t>
      </w:r>
      <w:r w:rsidR="00E649F3">
        <w:rPr>
          <w:rFonts w:ascii="Arial" w:hAnsi="Arial" w:cs="Arial"/>
        </w:rPr>
        <w:t xml:space="preserve"> (NG_000007.3)</w:t>
      </w:r>
    </w:p>
    <w:p w14:paraId="6EC3B097" w14:textId="4D9FA83B" w:rsidR="00116DD1" w:rsidRDefault="00C7541D" w:rsidP="00272A30">
      <w:pPr>
        <w:pStyle w:val="ListParagraph"/>
        <w:numPr>
          <w:ilvl w:val="0"/>
          <w:numId w:val="7"/>
        </w:numPr>
        <w:rPr>
          <w:rFonts w:ascii="Arial" w:hAnsi="Arial" w:cs="Arial"/>
        </w:rPr>
      </w:pPr>
      <w:r>
        <w:rPr>
          <w:rFonts w:ascii="Arial" w:hAnsi="Arial" w:cs="Arial"/>
        </w:rPr>
        <w:t xml:space="preserve">Known </w:t>
      </w:r>
      <w:r w:rsidR="00107CEF">
        <w:rPr>
          <w:rFonts w:ascii="Arial" w:hAnsi="Arial" w:cs="Arial"/>
        </w:rPr>
        <w:t>RefSeq</w:t>
      </w:r>
      <w:r w:rsidR="00E649F3">
        <w:rPr>
          <w:rFonts w:ascii="Arial" w:hAnsi="Arial" w:cs="Arial"/>
        </w:rPr>
        <w:t xml:space="preserve"> </w:t>
      </w:r>
      <w:r w:rsidR="00116DD1" w:rsidRPr="007B2D33">
        <w:rPr>
          <w:rFonts w:ascii="Arial" w:hAnsi="Arial" w:cs="Arial"/>
        </w:rPr>
        <w:t xml:space="preserve"> transcripts</w:t>
      </w:r>
      <w:r w:rsidR="00B34F4F">
        <w:rPr>
          <w:rFonts w:ascii="Arial" w:hAnsi="Arial" w:cs="Arial"/>
        </w:rPr>
        <w:t xml:space="preserve"> (2)</w:t>
      </w:r>
      <w:r w:rsidR="00E649F3">
        <w:rPr>
          <w:rFonts w:ascii="Arial" w:hAnsi="Arial" w:cs="Arial"/>
        </w:rPr>
        <w:t xml:space="preserve"> </w:t>
      </w:r>
    </w:p>
    <w:p w14:paraId="6AFE4177" w14:textId="7E42BB83" w:rsidR="00D07B58" w:rsidRPr="007B2D33" w:rsidRDefault="00D07B58" w:rsidP="00272A30">
      <w:pPr>
        <w:pStyle w:val="ListParagraph"/>
        <w:numPr>
          <w:ilvl w:val="0"/>
          <w:numId w:val="7"/>
        </w:numPr>
        <w:rPr>
          <w:rFonts w:ascii="Arial" w:hAnsi="Arial" w:cs="Arial"/>
        </w:rPr>
      </w:pPr>
      <w:r>
        <w:rPr>
          <w:rFonts w:ascii="Arial" w:hAnsi="Arial" w:cs="Arial"/>
        </w:rPr>
        <w:t>Gnomon</w:t>
      </w:r>
      <w:r w:rsidR="00C7541D">
        <w:rPr>
          <w:rFonts w:ascii="Arial" w:hAnsi="Arial" w:cs="Arial"/>
        </w:rPr>
        <w:t>-predicted</w:t>
      </w:r>
      <w:r>
        <w:rPr>
          <w:rFonts w:ascii="Arial" w:hAnsi="Arial" w:cs="Arial"/>
        </w:rPr>
        <w:t xml:space="preserve"> models</w:t>
      </w:r>
    </w:p>
    <w:p w14:paraId="12D03D37" w14:textId="77777777" w:rsidR="00726A47" w:rsidRPr="007B2D33" w:rsidRDefault="00726A47" w:rsidP="00726A47">
      <w:pPr>
        <w:pStyle w:val="ListParagraph"/>
        <w:rPr>
          <w:rFonts w:ascii="Arial" w:hAnsi="Arial" w:cs="Arial"/>
        </w:rPr>
      </w:pPr>
    </w:p>
    <w:p w14:paraId="403DCCEF" w14:textId="66AD12A7" w:rsidR="00FC6D96" w:rsidRDefault="00E10DA3" w:rsidP="00726A47">
      <w:r>
        <w:t xml:space="preserve">Both the set of genes and the placements of the genes </w:t>
      </w:r>
      <w:r w:rsidR="007333FF">
        <w:t>i</w:t>
      </w:r>
      <w:r>
        <w:t xml:space="preserve">n the annotation on the genomic sequences comprise the output of the annotation pipeline. </w:t>
      </w:r>
    </w:p>
    <w:p w14:paraId="5199B881" w14:textId="77777777" w:rsidR="00F557BE" w:rsidRDefault="00F557BE" w:rsidP="009B0AC2">
      <w:pPr>
        <w:pStyle w:val="Heading3"/>
      </w:pPr>
      <w:r>
        <w:t>Organisms in scope</w:t>
      </w:r>
    </w:p>
    <w:p w14:paraId="5DF8289E" w14:textId="4337D919" w:rsidR="007A0EFB" w:rsidRDefault="00B83468" w:rsidP="007A0EFB">
      <w:r>
        <w:t>T</w:t>
      </w:r>
      <w:r w:rsidR="00E649F3">
        <w:t>h</w:t>
      </w:r>
      <w:r w:rsidR="00C7541D">
        <w:t>os</w:t>
      </w:r>
      <w:r>
        <w:t xml:space="preserve">e </w:t>
      </w:r>
      <w:r w:rsidR="00A7373F">
        <w:t>eukaryotic</w:t>
      </w:r>
      <w:r w:rsidR="007A0EFB">
        <w:t xml:space="preserve"> organisms annotated </w:t>
      </w:r>
      <w:r>
        <w:t xml:space="preserve">by </w:t>
      </w:r>
      <w:r w:rsidR="007A0EFB">
        <w:t xml:space="preserve">NCBI span a wide range of taxa </w:t>
      </w:r>
      <w:r w:rsidR="00FF29BF">
        <w:t xml:space="preserve">among </w:t>
      </w:r>
      <w:r w:rsidR="00E649F3">
        <w:t>invertebrates</w:t>
      </w:r>
      <w:r w:rsidR="00FF29BF">
        <w:t xml:space="preserve">, </w:t>
      </w:r>
      <w:r w:rsidR="001E4BE6">
        <w:t>v</w:t>
      </w:r>
      <w:r w:rsidR="007A0EFB">
        <w:t>ertebrates</w:t>
      </w:r>
      <w:r w:rsidR="00406182">
        <w:t>,</w:t>
      </w:r>
      <w:r w:rsidR="00FF29BF">
        <w:t xml:space="preserve"> and plants</w:t>
      </w:r>
      <w:r w:rsidR="007A0EFB">
        <w:t xml:space="preserve">. </w:t>
      </w:r>
      <w:r w:rsidR="00A7373F">
        <w:t>Annotation p</w:t>
      </w:r>
      <w:r w:rsidR="007A0EFB">
        <w:t>riorities are based on several considerations</w:t>
      </w:r>
      <w:r w:rsidR="00406182">
        <w:t>,</w:t>
      </w:r>
      <w:r w:rsidR="007A0EFB">
        <w:t xml:space="preserve"> including:</w:t>
      </w:r>
    </w:p>
    <w:p w14:paraId="143B1469" w14:textId="0EFD47A3" w:rsidR="007A0EFB" w:rsidRPr="007B2D33" w:rsidRDefault="00406182" w:rsidP="008A1935">
      <w:pPr>
        <w:pStyle w:val="ListParagraph"/>
        <w:numPr>
          <w:ilvl w:val="0"/>
          <w:numId w:val="13"/>
        </w:numPr>
        <w:rPr>
          <w:rFonts w:ascii="Arial" w:eastAsia="Times" w:hAnsi="Arial" w:cs="Arial"/>
        </w:rPr>
      </w:pPr>
      <w:r w:rsidRPr="007B2D33">
        <w:rPr>
          <w:rFonts w:ascii="Arial" w:eastAsia="Times" w:hAnsi="Arial" w:cs="Arial"/>
        </w:rPr>
        <w:t>N</w:t>
      </w:r>
      <w:r>
        <w:rPr>
          <w:rFonts w:ascii="Arial" w:eastAsia="Times" w:hAnsi="Arial" w:cs="Arial"/>
        </w:rPr>
        <w:t xml:space="preserve">ational Institutes of Health (NIH) </w:t>
      </w:r>
      <w:r w:rsidR="007A0EFB" w:rsidRPr="007B2D33">
        <w:rPr>
          <w:rFonts w:ascii="Arial" w:eastAsia="Times" w:hAnsi="Arial" w:cs="Arial"/>
        </w:rPr>
        <w:t>priorities: Mammals are important to the NIH, so high-quality genome assemblies for new mammalian species are given a higher priority for annotation</w:t>
      </w:r>
    </w:p>
    <w:p w14:paraId="398ABFE9" w14:textId="50907962" w:rsidR="007A0EFB" w:rsidRPr="007B2D33" w:rsidRDefault="007A0EFB" w:rsidP="008A1935">
      <w:pPr>
        <w:pStyle w:val="ListParagraph"/>
        <w:numPr>
          <w:ilvl w:val="0"/>
          <w:numId w:val="13"/>
        </w:numPr>
        <w:rPr>
          <w:rFonts w:ascii="Arial" w:eastAsia="Times" w:hAnsi="Arial" w:cs="Arial"/>
        </w:rPr>
      </w:pPr>
      <w:r w:rsidRPr="007B2D33">
        <w:rPr>
          <w:rFonts w:ascii="Arial" w:eastAsia="Times" w:hAnsi="Arial" w:cs="Arial"/>
        </w:rPr>
        <w:t>Biological or economic importance: highly-studied organisms or organisms with agricultural (e.g.</w:t>
      </w:r>
      <w:r w:rsidR="00406182">
        <w:rPr>
          <w:rFonts w:ascii="Arial" w:eastAsia="Times" w:hAnsi="Arial" w:cs="Arial"/>
        </w:rPr>
        <w:t>,</w:t>
      </w:r>
      <w:r w:rsidRPr="007B2D33">
        <w:rPr>
          <w:rFonts w:ascii="Arial" w:eastAsia="Times" w:hAnsi="Arial" w:cs="Arial"/>
        </w:rPr>
        <w:t xml:space="preserve"> crops) or industrial use</w:t>
      </w:r>
    </w:p>
    <w:p w14:paraId="1AF1173A" w14:textId="32255BE9" w:rsidR="007A0EFB" w:rsidRPr="007B2D33" w:rsidRDefault="007A0EFB" w:rsidP="008A1935">
      <w:pPr>
        <w:pStyle w:val="ListParagraph"/>
        <w:numPr>
          <w:ilvl w:val="0"/>
          <w:numId w:val="13"/>
        </w:numPr>
        <w:rPr>
          <w:rFonts w:ascii="Arial" w:eastAsia="Times" w:hAnsi="Arial" w:cs="Arial"/>
        </w:rPr>
      </w:pPr>
      <w:r w:rsidRPr="007B2D33">
        <w:rPr>
          <w:rFonts w:ascii="Arial" w:eastAsia="Times" w:hAnsi="Arial" w:cs="Arial"/>
        </w:rPr>
        <w:t>Community interest/requests: requests from research communities, communicated in person o</w:t>
      </w:r>
      <w:r w:rsidR="000C5393">
        <w:rPr>
          <w:rFonts w:ascii="Arial" w:eastAsia="Times" w:hAnsi="Arial" w:cs="Arial"/>
        </w:rPr>
        <w:t>r</w:t>
      </w:r>
      <w:r w:rsidRPr="007B2D33">
        <w:rPr>
          <w:rFonts w:ascii="Arial" w:eastAsia="Times" w:hAnsi="Arial" w:cs="Arial"/>
        </w:rPr>
        <w:t xml:space="preserve"> in writing through the </w:t>
      </w:r>
      <w:r w:rsidRPr="000C5393">
        <w:rPr>
          <w:rFonts w:ascii="Arial" w:eastAsia="Times" w:hAnsi="Arial" w:cs="Arial"/>
        </w:rPr>
        <w:t xml:space="preserve">NCBI </w:t>
      </w:r>
      <w:r w:rsidR="00DE7EB2">
        <w:rPr>
          <w:rFonts w:ascii="Arial" w:eastAsia="Times" w:hAnsi="Arial" w:cs="Arial"/>
        </w:rPr>
        <w:t>Support Center</w:t>
      </w:r>
      <w:r w:rsidR="000C5393">
        <w:rPr>
          <w:rFonts w:ascii="Arial" w:eastAsia="Times" w:hAnsi="Arial" w:cs="Arial"/>
        </w:rPr>
        <w:t xml:space="preserve">.  To write to the NCBI </w:t>
      </w:r>
      <w:r w:rsidR="00DE7EB2">
        <w:rPr>
          <w:rFonts w:ascii="Arial" w:eastAsia="Times" w:hAnsi="Arial" w:cs="Arial"/>
        </w:rPr>
        <w:t>Support Center</w:t>
      </w:r>
      <w:r w:rsidR="000C5393">
        <w:rPr>
          <w:rFonts w:ascii="Arial" w:eastAsia="Times" w:hAnsi="Arial" w:cs="Arial"/>
        </w:rPr>
        <w:t>, click on the “</w:t>
      </w:r>
      <w:r w:rsidR="00DE7EB2">
        <w:rPr>
          <w:rFonts w:ascii="Arial" w:eastAsia="Times" w:hAnsi="Arial" w:cs="Arial"/>
        </w:rPr>
        <w:t>Support Center</w:t>
      </w:r>
      <w:r w:rsidR="000C5393">
        <w:rPr>
          <w:rFonts w:ascii="Arial" w:eastAsia="Times" w:hAnsi="Arial" w:cs="Arial"/>
        </w:rPr>
        <w:t>” link in the bottom right corner of any NCBI web page.</w:t>
      </w:r>
      <w:bookmarkStart w:id="0" w:name="_GoBack"/>
      <w:bookmarkEnd w:id="0"/>
    </w:p>
    <w:p w14:paraId="6344B59D" w14:textId="77777777" w:rsidR="007A0EFB" w:rsidRPr="007A0EFB" w:rsidRDefault="007A0EFB" w:rsidP="007A0EFB"/>
    <w:p w14:paraId="37936FE7" w14:textId="35BD6DAB" w:rsidR="001E4BE6" w:rsidRDefault="001E4BE6" w:rsidP="001E4BE6">
      <w:r>
        <w:t xml:space="preserve">The annotation process depends heavily on the availability of transcript or protein evidence for the species. Some annotation plans </w:t>
      </w:r>
      <w:r w:rsidR="008F08E5">
        <w:t xml:space="preserve">for high-priority organisms </w:t>
      </w:r>
      <w:r>
        <w:t>may be put on hold pending</w:t>
      </w:r>
      <w:r w:rsidR="00FF29BF">
        <w:t xml:space="preserve"> </w:t>
      </w:r>
      <w:r>
        <w:t>submission and public availability of transcriptome data</w:t>
      </w:r>
      <w:r w:rsidR="00A7373F">
        <w:t>.</w:t>
      </w:r>
    </w:p>
    <w:p w14:paraId="015CFE59" w14:textId="77777777" w:rsidR="00C51E99" w:rsidRDefault="00C51E99" w:rsidP="00C51E99">
      <w:pPr>
        <w:pStyle w:val="ListParagraph"/>
      </w:pPr>
    </w:p>
    <w:p w14:paraId="11481B16" w14:textId="0FA9AEA9" w:rsidR="00F557BE" w:rsidRDefault="00F557BE" w:rsidP="009B0AC2">
      <w:pPr>
        <w:pStyle w:val="Heading3"/>
      </w:pPr>
      <w:r>
        <w:t>Assemblies in scope</w:t>
      </w:r>
    </w:p>
    <w:p w14:paraId="59090938" w14:textId="72577A18" w:rsidR="00D25B33" w:rsidRDefault="00D25B33" w:rsidP="00D25B33">
      <w:r>
        <w:t>Only genomes with assemblies that are public in</w:t>
      </w:r>
      <w:r w:rsidR="004C3417">
        <w:t xml:space="preserve"> the </w:t>
      </w:r>
      <w:r w:rsidR="004C3417" w:rsidRPr="004C3417">
        <w:t>International Nucleotide Sequence Database Collaboration</w:t>
      </w:r>
      <w:r>
        <w:t xml:space="preserve"> </w:t>
      </w:r>
      <w:r w:rsidR="004C3417">
        <w:t>(</w:t>
      </w:r>
      <w:hyperlink r:id="rId12" w:history="1">
        <w:r w:rsidRPr="00E6630B">
          <w:rPr>
            <w:rStyle w:val="Hyperlink"/>
          </w:rPr>
          <w:t>INSDC</w:t>
        </w:r>
      </w:hyperlink>
      <w:r w:rsidR="004C3417">
        <w:rPr>
          <w:rStyle w:val="Hyperlink"/>
        </w:rPr>
        <w:t>)</w:t>
      </w:r>
      <w:r>
        <w:t xml:space="preserve"> (</w:t>
      </w:r>
      <w:hyperlink r:id="rId13" w:history="1">
        <w:r w:rsidR="004C3417" w:rsidRPr="004C3417">
          <w:rPr>
            <w:rStyle w:val="Hyperlink"/>
          </w:rPr>
          <w:t>DNA Data Bank of Japan</w:t>
        </w:r>
      </w:hyperlink>
      <w:r w:rsidR="004C3417">
        <w:t xml:space="preserve">, </w:t>
      </w:r>
      <w:hyperlink r:id="rId14" w:history="1">
        <w:r w:rsidR="004C3417" w:rsidRPr="004C3417">
          <w:rPr>
            <w:rStyle w:val="Hyperlink"/>
          </w:rPr>
          <w:t>European Nucleotide Archive</w:t>
        </w:r>
      </w:hyperlink>
      <w:r>
        <w:t xml:space="preserve"> or GenBank) are considered for annotation. </w:t>
      </w:r>
      <w:r w:rsidR="00460FFE">
        <w:t>These assemblies are a</w:t>
      </w:r>
      <w:r>
        <w:t xml:space="preserve">vailable in the </w:t>
      </w:r>
      <w:hyperlink r:id="rId15" w:history="1">
        <w:r w:rsidRPr="00E6630B">
          <w:rPr>
            <w:rStyle w:val="Hyperlink"/>
          </w:rPr>
          <w:t>Assembly</w:t>
        </w:r>
      </w:hyperlink>
      <w:r>
        <w:t xml:space="preserve"> resource</w:t>
      </w:r>
      <w:r w:rsidR="00E6630B">
        <w:t xml:space="preserve">. </w:t>
      </w:r>
      <w:r w:rsidR="00460FFE">
        <w:t xml:space="preserve">Assemblies with </w:t>
      </w:r>
      <w:r w:rsidR="00FF29BF">
        <w:t xml:space="preserve">assembled </w:t>
      </w:r>
      <w:r w:rsidR="00460FFE">
        <w:t>chromosome</w:t>
      </w:r>
      <w:r w:rsidR="00FF29BF">
        <w:t>s</w:t>
      </w:r>
      <w:r w:rsidR="00460FFE">
        <w:t xml:space="preserve"> are preferred, but assemblies made of </w:t>
      </w:r>
      <w:r w:rsidR="00FF29BF">
        <w:lastRenderedPageBreak/>
        <w:t xml:space="preserve">unplaced </w:t>
      </w:r>
      <w:r w:rsidR="00460FFE">
        <w:t xml:space="preserve">scaffolds </w:t>
      </w:r>
      <w:r w:rsidR="00FF29BF">
        <w:t xml:space="preserve">only </w:t>
      </w:r>
      <w:r w:rsidR="00460FFE">
        <w:t>may also be annotated. Assemblies for which only contigs are available are not annotated.</w:t>
      </w:r>
    </w:p>
    <w:p w14:paraId="4AB38A27" w14:textId="226F9B61" w:rsidR="00D25B33" w:rsidRDefault="00D25B33" w:rsidP="00D25B33">
      <w:r>
        <w:t xml:space="preserve">Assemblies with high contig and scaffold N50 are prioritized. </w:t>
      </w:r>
      <w:r w:rsidR="001A4360">
        <w:t>No single quality metric is used as a strict threshold</w:t>
      </w:r>
      <w:r w:rsidR="00406182">
        <w:t>,</w:t>
      </w:r>
      <w:r w:rsidR="001A4360">
        <w:t xml:space="preserve"> but </w:t>
      </w:r>
      <w:r>
        <w:t xml:space="preserve">assemblies that have a contig N50 </w:t>
      </w:r>
      <w:r w:rsidR="0050087C">
        <w:t>above</w:t>
      </w:r>
      <w:r>
        <w:t xml:space="preserve"> 50,000 bases and/or a scaffold N50 </w:t>
      </w:r>
      <w:r w:rsidR="0050087C">
        <w:t>above</w:t>
      </w:r>
      <w:r>
        <w:t xml:space="preserve"> 2,000,000 bases</w:t>
      </w:r>
      <w:r w:rsidR="001A4360">
        <w:t xml:space="preserve"> are prefer</w:t>
      </w:r>
      <w:r w:rsidR="00E6630B">
        <w:t>r</w:t>
      </w:r>
      <w:r w:rsidR="001A4360">
        <w:t>ed, as more complete gene sets are generally produced for assemblies with higher N50 statistics</w:t>
      </w:r>
      <w:r>
        <w:t>. NCBI may decide not to annotate assemblies that are extremely fragmented, even if they meet other criteria</w:t>
      </w:r>
      <w:r w:rsidR="000260B2">
        <w:t>.</w:t>
      </w:r>
    </w:p>
    <w:p w14:paraId="6FBA71D1" w14:textId="60823403" w:rsidR="000260B2" w:rsidRPr="000260B2" w:rsidRDefault="000260B2" w:rsidP="000260B2">
      <w:r>
        <w:t xml:space="preserve">If multiple assemblies are available for the same organism, NCBI </w:t>
      </w:r>
      <w:r w:rsidR="001E4BE6">
        <w:t>will annotate the higher quality assembly as the reference. A</w:t>
      </w:r>
      <w:r w:rsidR="002944AC">
        <w:t>lternate assemblies</w:t>
      </w:r>
      <w:r w:rsidR="001E4BE6">
        <w:t xml:space="preserve"> of lower quality may also be included</w:t>
      </w:r>
      <w:r>
        <w:t xml:space="preserve">. This decision depends on the quality of the </w:t>
      </w:r>
      <w:r w:rsidR="002944AC">
        <w:t xml:space="preserve">alternate assemblies, their importance to the community, as well as the estimated gain from annotating extra assemblies (number of extra genes identified, </w:t>
      </w:r>
      <w:r w:rsidR="001A4360">
        <w:t>compens</w:t>
      </w:r>
      <w:r w:rsidR="00460FFE">
        <w:t xml:space="preserve">ation of </w:t>
      </w:r>
      <w:r w:rsidR="002944AC">
        <w:t>low-quality regions in the reference</w:t>
      </w:r>
      <w:r w:rsidR="00460FFE">
        <w:t xml:space="preserve"> by higher-quality regions in the alternate assembly</w:t>
      </w:r>
      <w:r w:rsidR="002944AC">
        <w:t>, value to variation studies)</w:t>
      </w:r>
      <w:r w:rsidR="00460FFE">
        <w:t>.</w:t>
      </w:r>
    </w:p>
    <w:p w14:paraId="0E1E2A10" w14:textId="7E4666F3" w:rsidR="000260B2" w:rsidRDefault="00D25B33" w:rsidP="001E4BE6">
      <w:r>
        <w:t xml:space="preserve">Some assemblies are submitted to INSDC with annotation. NCBI may elect to propagate this annotation onto RefSeq </w:t>
      </w:r>
      <w:r w:rsidR="000260B2">
        <w:t>sequences</w:t>
      </w:r>
      <w:r>
        <w:t xml:space="preserve">. This is typically the case for model organism assemblies with well-curated annotation, such as </w:t>
      </w:r>
      <w:r w:rsidRPr="00DE020D">
        <w:rPr>
          <w:i/>
        </w:rPr>
        <w:t>Drosophila melanogaster</w:t>
      </w:r>
      <w:r>
        <w:t xml:space="preserve"> (maintained </w:t>
      </w:r>
      <w:r w:rsidR="007333FF">
        <w:t xml:space="preserve">by </w:t>
      </w:r>
      <w:r w:rsidR="00696E5C">
        <w:t>FlyBase)</w:t>
      </w:r>
      <w:r w:rsidR="0050087C">
        <w:t xml:space="preserve">, </w:t>
      </w:r>
      <w:r w:rsidR="0050087C" w:rsidRPr="00DE020D">
        <w:rPr>
          <w:i/>
        </w:rPr>
        <w:t xml:space="preserve">Saccharomyces cerevisiae </w:t>
      </w:r>
      <w:r w:rsidR="0050087C">
        <w:t>(maintained by</w:t>
      </w:r>
      <w:r w:rsidR="004C3417">
        <w:t xml:space="preserve"> the Saccharomyces Genome Database</w:t>
      </w:r>
      <w:r w:rsidR="0050087C">
        <w:t>)</w:t>
      </w:r>
      <w:r w:rsidR="00696E5C">
        <w:t xml:space="preserve"> or </w:t>
      </w:r>
      <w:r w:rsidR="00696E5C" w:rsidRPr="00DE020D">
        <w:rPr>
          <w:i/>
        </w:rPr>
        <w:t>Caenor</w:t>
      </w:r>
      <w:r w:rsidRPr="00DE020D">
        <w:rPr>
          <w:i/>
        </w:rPr>
        <w:t>habditis elegans</w:t>
      </w:r>
      <w:r>
        <w:t xml:space="preserve"> (maintained </w:t>
      </w:r>
      <w:r w:rsidR="00D90985">
        <w:t xml:space="preserve">by </w:t>
      </w:r>
      <w:r>
        <w:t>WormBase)</w:t>
      </w:r>
      <w:r w:rsidR="00B83468">
        <w:t xml:space="preserve"> but annotation propagation from GenBank to RefSeq </w:t>
      </w:r>
      <w:r w:rsidR="0050087C">
        <w:t>records</w:t>
      </w:r>
      <w:r w:rsidR="00B83468">
        <w:t xml:space="preserve"> may also be done for other organisms (</w:t>
      </w:r>
      <w:r w:rsidR="00D90985" w:rsidRPr="00D90985">
        <w:t>e.g.</w:t>
      </w:r>
      <w:r w:rsidR="00406182">
        <w:t>,</w:t>
      </w:r>
      <w:r w:rsidR="00D90985">
        <w:t xml:space="preserve"> </w:t>
      </w:r>
      <w:r w:rsidR="0050087C" w:rsidRPr="00DE020D">
        <w:rPr>
          <w:i/>
        </w:rPr>
        <w:t>Sorghum</w:t>
      </w:r>
      <w:r w:rsidR="00D90985" w:rsidRPr="00DE020D">
        <w:rPr>
          <w:i/>
        </w:rPr>
        <w:t xml:space="preserve"> bicolor</w:t>
      </w:r>
      <w:r w:rsidR="00B83468">
        <w:t>)</w:t>
      </w:r>
      <w:r>
        <w:t>.</w:t>
      </w:r>
      <w:r w:rsidR="001A4360">
        <w:t xml:space="preserve"> </w:t>
      </w:r>
      <w:r w:rsidR="000260B2">
        <w:t xml:space="preserve">For </w:t>
      </w:r>
      <w:r w:rsidR="00B83468">
        <w:t xml:space="preserve">some </w:t>
      </w:r>
      <w:r w:rsidR="000260B2">
        <w:t>organisms</w:t>
      </w:r>
      <w:r w:rsidR="00B83468">
        <w:t xml:space="preserve"> with annotation</w:t>
      </w:r>
      <w:r w:rsidR="00D90985">
        <w:t xml:space="preserve"> </w:t>
      </w:r>
      <w:r w:rsidR="00E6630B">
        <w:t xml:space="preserve">submitted to INSDC </w:t>
      </w:r>
      <w:r w:rsidR="00D90985">
        <w:t>(e.g.</w:t>
      </w:r>
      <w:r w:rsidR="00406182">
        <w:t>,</w:t>
      </w:r>
      <w:r w:rsidR="00D90985">
        <w:t xml:space="preserve"> </w:t>
      </w:r>
      <w:r w:rsidR="00D90985" w:rsidRPr="00296E81">
        <w:rPr>
          <w:i/>
        </w:rPr>
        <w:t>Ailuropoda melanoleuca</w:t>
      </w:r>
      <w:r w:rsidR="00D90985">
        <w:t>)</w:t>
      </w:r>
      <w:r w:rsidR="000260B2">
        <w:t xml:space="preserve">, NCBI </w:t>
      </w:r>
      <w:r w:rsidR="00460FFE">
        <w:t>may</w:t>
      </w:r>
      <w:r w:rsidR="000260B2">
        <w:t xml:space="preserve"> opt to annotate </w:t>
      </w:r>
      <w:r w:rsidR="0050087C">
        <w:t xml:space="preserve">RefSeq copies of the </w:t>
      </w:r>
      <w:r w:rsidR="000260B2">
        <w:t>assemblies</w:t>
      </w:r>
      <w:r w:rsidR="001E4BE6">
        <w:t>, primarily to p</w:t>
      </w:r>
      <w:r>
        <w:t xml:space="preserve">rovide a more consistent </w:t>
      </w:r>
      <w:r w:rsidR="001E4BE6">
        <w:t xml:space="preserve">RefSeq </w:t>
      </w:r>
      <w:r>
        <w:t xml:space="preserve">dataset </w:t>
      </w:r>
      <w:r w:rsidR="001A4360">
        <w:t xml:space="preserve">across </w:t>
      </w:r>
      <w:r>
        <w:t>or</w:t>
      </w:r>
      <w:r w:rsidR="000260B2">
        <w:t>ganisms of interest to the NIH</w:t>
      </w:r>
      <w:r w:rsidR="00460FFE">
        <w:t>.</w:t>
      </w:r>
    </w:p>
    <w:p w14:paraId="2E98F461" w14:textId="3DD26C4F" w:rsidR="00F669C7" w:rsidRPr="00071198" w:rsidRDefault="006E103B" w:rsidP="009B0AC2">
      <w:pPr>
        <w:pStyle w:val="Heading2"/>
        <w:rPr>
          <w:color w:val="1F497D" w:themeColor="text2"/>
        </w:rPr>
      </w:pPr>
      <w:r>
        <w:t>Hi</w:t>
      </w:r>
      <w:r w:rsidR="00F669C7" w:rsidRPr="009B0AC2">
        <w:t>story</w:t>
      </w:r>
    </w:p>
    <w:p w14:paraId="46CBCD3E" w14:textId="4650AF80" w:rsidR="00DE020D" w:rsidRDefault="007E6855" w:rsidP="007E6855">
      <w:r w:rsidRPr="00632F59">
        <w:t xml:space="preserve">NCBI’s original Eukaryotic Genome Annotation Pipeline </w:t>
      </w:r>
      <w:r>
        <w:t>began development in the year 2000</w:t>
      </w:r>
      <w:r w:rsidRPr="00632F59">
        <w:t xml:space="preserve"> to annotate draft </w:t>
      </w:r>
      <w:r>
        <w:t xml:space="preserve">versions of the </w:t>
      </w:r>
      <w:r w:rsidRPr="00632F59">
        <w:t>human genome</w:t>
      </w:r>
      <w:r>
        <w:t xml:space="preserve"> assembly produced by the Human Genome Project</w:t>
      </w:r>
      <w:r w:rsidRPr="00632F59">
        <w:t xml:space="preserve">. </w:t>
      </w:r>
      <w:r>
        <w:t>NCBI's</w:t>
      </w:r>
      <w:r w:rsidRPr="00855E21">
        <w:t xml:space="preserve"> annotation </w:t>
      </w:r>
      <w:r>
        <w:t>process</w:t>
      </w:r>
      <w:r w:rsidRPr="00632F59">
        <w:t xml:space="preserve"> </w:t>
      </w:r>
      <w:r>
        <w:t xml:space="preserve">has </w:t>
      </w:r>
      <w:r w:rsidR="00E6630B">
        <w:t xml:space="preserve">grown </w:t>
      </w:r>
      <w:r>
        <w:t>over the last 13 years</w:t>
      </w:r>
      <w:r w:rsidR="00A138D9">
        <w:t xml:space="preserve"> to accommodate non-human organisms.</w:t>
      </w:r>
      <w:r w:rsidR="00DE020D">
        <w:t xml:space="preserve"> It has also become an automated pipeline that annotates more feature types using a wider range of input data and new or improved algorithms.</w:t>
      </w:r>
    </w:p>
    <w:p w14:paraId="27ADDE63" w14:textId="08680C44" w:rsidR="007E6855" w:rsidRPr="009D14BF" w:rsidRDefault="007E6855" w:rsidP="007E6855">
      <w:r w:rsidRPr="00920F86">
        <w:t>In</w:t>
      </w:r>
      <w:r>
        <w:t xml:space="preserve"> its infancy, </w:t>
      </w:r>
      <w:r w:rsidRPr="00632F59">
        <w:t xml:space="preserve">NCBI’s Eukaryotic Genome Annotation Pipeline </w:t>
      </w:r>
      <w:r w:rsidR="00297359">
        <w:t xml:space="preserve">was a </w:t>
      </w:r>
      <w:r w:rsidR="00D01963">
        <w:t>semi-</w:t>
      </w:r>
      <w:r w:rsidR="00297359">
        <w:t xml:space="preserve">manual process to </w:t>
      </w:r>
      <w:r>
        <w:t>annotate</w:t>
      </w:r>
      <w:r w:rsidRPr="00920F86">
        <w:t xml:space="preserve"> known genes by aligning mRNAs from GenBank </w:t>
      </w:r>
      <w:r w:rsidR="0050087C">
        <w:t>and</w:t>
      </w:r>
      <w:r w:rsidRPr="00920F86">
        <w:t xml:space="preserve"> RefSeq to the genome</w:t>
      </w:r>
      <w:r w:rsidR="00BC34AB">
        <w:t xml:space="preserve"> using BLAST (</w:t>
      </w:r>
      <w:r w:rsidR="00D01963">
        <w:t>3</w:t>
      </w:r>
      <w:r w:rsidR="004B1CF9">
        <w:t>)</w:t>
      </w:r>
      <w:r>
        <w:t>, and</w:t>
      </w:r>
      <w:r w:rsidRPr="00920F86">
        <w:t xml:space="preserve"> </w:t>
      </w:r>
      <w:r w:rsidR="002B0CEC" w:rsidRPr="00920F86">
        <w:t xml:space="preserve">to generate </w:t>
      </w:r>
      <w:r w:rsidR="002B0CEC" w:rsidRPr="00920F86">
        <w:rPr>
          <w:i/>
        </w:rPr>
        <w:t>ab initio</w:t>
      </w:r>
      <w:r w:rsidR="002B0CEC" w:rsidRPr="00920F86">
        <w:t xml:space="preserve"> gene model predictions in the spaces between the known genes</w:t>
      </w:r>
      <w:r w:rsidR="002B0CEC">
        <w:t xml:space="preserve"> with</w:t>
      </w:r>
      <w:r w:rsidR="003D6113">
        <w:t xml:space="preserve"> </w:t>
      </w:r>
      <w:r w:rsidR="00D66BA7">
        <w:t>GenomeScan (</w:t>
      </w:r>
      <w:r w:rsidR="00D01963">
        <w:t>4</w:t>
      </w:r>
      <w:r w:rsidR="004B1CF9">
        <w:t>)</w:t>
      </w:r>
      <w:r w:rsidRPr="00920F86">
        <w:t xml:space="preserve"> guided by protein alignments. One early advance was to use </w:t>
      </w:r>
      <w:r>
        <w:t xml:space="preserve">EST </w:t>
      </w:r>
      <w:r w:rsidRPr="00920F86">
        <w:t xml:space="preserve">alignments to produce model transcripts that represented </w:t>
      </w:r>
      <w:r>
        <w:t>EST</w:t>
      </w:r>
      <w:r w:rsidRPr="00920F86">
        <w:t xml:space="preserve"> and </w:t>
      </w:r>
      <w:r>
        <w:t xml:space="preserve">mRNA chains </w:t>
      </w:r>
      <w:r w:rsidRPr="00920F86">
        <w:t xml:space="preserve">that shared introns. Another major </w:t>
      </w:r>
      <w:r w:rsidRPr="00920F86">
        <w:rPr>
          <w:rFonts w:eastAsia="Calibri"/>
        </w:rPr>
        <w:t xml:space="preserve">improvement </w:t>
      </w:r>
      <w:r w:rsidRPr="00920F86">
        <w:t xml:space="preserve">came in 2003 when </w:t>
      </w:r>
      <w:r w:rsidR="00AE763A">
        <w:t xml:space="preserve">Gnomon, </w:t>
      </w:r>
      <w:r w:rsidRPr="00920F86">
        <w:t>a gene prediction program developed at NCBI</w:t>
      </w:r>
      <w:r w:rsidR="00AE763A">
        <w:t xml:space="preserve"> based on GenScan (5)</w:t>
      </w:r>
      <w:r>
        <w:t>, replaced GenomeScan. Gnomon</w:t>
      </w:r>
      <w:r w:rsidRPr="00920F86">
        <w:t xml:space="preserve"> allowed us to</w:t>
      </w:r>
      <w:r>
        <w:t xml:space="preserve"> generate gene models using</w:t>
      </w:r>
      <w:r w:rsidRPr="00920F86">
        <w:t xml:space="preserve"> a combination of </w:t>
      </w:r>
      <w:r>
        <w:t>mRNA, EST</w:t>
      </w:r>
      <w:r w:rsidRPr="00920F86">
        <w:t xml:space="preserve"> and protein alignments as evidence, supplemented by </w:t>
      </w:r>
      <w:r w:rsidRPr="00920F86">
        <w:rPr>
          <w:i/>
        </w:rPr>
        <w:t>ab initio</w:t>
      </w:r>
      <w:r w:rsidRPr="00920F86">
        <w:t xml:space="preserve"> prediction where evidence was lacking. The next major advance was the </w:t>
      </w:r>
      <w:r>
        <w:t>development and incorporation</w:t>
      </w:r>
      <w:r w:rsidRPr="00920F86">
        <w:t xml:space="preserve"> of splicing-aware alignment algorithms capable of placing transcripts and proteins independently while following established rules of eukaryotic splicing. </w:t>
      </w:r>
      <w:r w:rsidR="00DC5801">
        <w:t>NCBI's first splicing-aware transcri</w:t>
      </w:r>
      <w:r w:rsidR="00756218">
        <w:t>pt alignment program, Spidey (6</w:t>
      </w:r>
      <w:r w:rsidR="00DC5801">
        <w:t xml:space="preserve">), was developed as a research project but this program did not scale to very large data sets and it was not sufficiently robust for routine use in our annotation pipeline. </w:t>
      </w:r>
      <w:r>
        <w:t>Splign</w:t>
      </w:r>
      <w:r w:rsidR="00DC5801">
        <w:t xml:space="preserve"> (1) was developed as a replacement for Spidey and</w:t>
      </w:r>
      <w:r w:rsidRPr="001B1D52">
        <w:t xml:space="preserve"> </w:t>
      </w:r>
      <w:r>
        <w:t>was incorporated into the annotation pipeline in 2004</w:t>
      </w:r>
      <w:r w:rsidR="00DC5801">
        <w:t>. Splign</w:t>
      </w:r>
      <w:r>
        <w:t xml:space="preserve"> </w:t>
      </w:r>
      <w:r w:rsidRPr="001B1D52">
        <w:t>allowed accurate placement of transcripts and aided efforts to identify problematic areas of both the genome and the transcript set. ProSplign</w:t>
      </w:r>
      <w:r w:rsidR="00DC5801">
        <w:t xml:space="preserve">, NCBI's splicing-aware protein alignment </w:t>
      </w:r>
      <w:r w:rsidR="00DC5801">
        <w:lastRenderedPageBreak/>
        <w:t>program,</w:t>
      </w:r>
      <w:r w:rsidRPr="001B1D52">
        <w:t xml:space="preserve"> </w:t>
      </w:r>
      <w:r>
        <w:t xml:space="preserve">was incorporated into the annotation pipeline in 2006 to </w:t>
      </w:r>
      <w:r w:rsidRPr="001B1D52">
        <w:t xml:space="preserve">improve the accuracy of the protein-to-genomic sequence alignments used as evidence in the Gnomon gene model prediction process. </w:t>
      </w:r>
      <w:r w:rsidRPr="009D14BF">
        <w:t xml:space="preserve">In 2013, NCBI made another major enhancement to </w:t>
      </w:r>
      <w:r w:rsidR="00D01963">
        <w:t>the</w:t>
      </w:r>
      <w:r w:rsidR="00D01963" w:rsidRPr="009D14BF">
        <w:t xml:space="preserve"> </w:t>
      </w:r>
      <w:r w:rsidRPr="009D14BF">
        <w:t xml:space="preserve">annotation process that </w:t>
      </w:r>
      <w:r w:rsidR="00D01963">
        <w:t>allowed</w:t>
      </w:r>
      <w:r w:rsidRPr="009D14BF">
        <w:t xml:space="preserve"> effective use of </w:t>
      </w:r>
      <w:r w:rsidR="00544B51">
        <w:t>RNA-Seq</w:t>
      </w:r>
      <w:r w:rsidRPr="009D14BF">
        <w:t xml:space="preserve"> data as evidence for making transcript models. </w:t>
      </w:r>
      <w:r>
        <w:t>This</w:t>
      </w:r>
      <w:r w:rsidRPr="009D14BF">
        <w:t xml:space="preserve"> greatly improved the quality of the annotation for many organisms that have little or no mRNA or EST data in GenBank.</w:t>
      </w:r>
    </w:p>
    <w:p w14:paraId="4BD1117E" w14:textId="1AAB328B" w:rsidR="00F669C7" w:rsidRDefault="007E6855" w:rsidP="007E6855">
      <w:r w:rsidRPr="00A255EA">
        <w:t xml:space="preserve">As the rate </w:t>
      </w:r>
      <w:r>
        <w:t>that</w:t>
      </w:r>
      <w:r w:rsidRPr="00A255EA">
        <w:t xml:space="preserve"> new genome assemblies deposited in GenBank increased, deficiencies in the annotation pipeline that limited our ability to scale the process beyond a small number of organisms became more apparent. In parallel to the improvements to the annotation algorithms described above, we</w:t>
      </w:r>
      <w:r w:rsidR="002A4F3A">
        <w:t xml:space="preserve"> twice</w:t>
      </w:r>
      <w:r w:rsidRPr="00A255EA">
        <w:t xml:space="preserve"> re</w:t>
      </w:r>
      <w:r>
        <w:t>-engineered</w:t>
      </w:r>
      <w:r w:rsidRPr="00A255EA">
        <w:t xml:space="preserve"> the existing process to create a new framework for parallel execution that </w:t>
      </w:r>
      <w:r>
        <w:t xml:space="preserve">also </w:t>
      </w:r>
      <w:r w:rsidRPr="00A255EA">
        <w:t xml:space="preserve">provides extensibility, robustness, tracking, and reproducibility. By 2009, development of the re-engineered pipeline was sufficiently advanced </w:t>
      </w:r>
      <w:r>
        <w:t xml:space="preserve">to switch </w:t>
      </w:r>
      <w:r w:rsidRPr="00A255EA">
        <w:t xml:space="preserve">production annotation runs from the old pipeline to the new framework. Further refinements </w:t>
      </w:r>
      <w:r>
        <w:t>to the process and more automation continue to improve throughput.</w:t>
      </w:r>
      <w:r w:rsidR="002B0CEC">
        <w:t xml:space="preserve"> </w:t>
      </w:r>
      <w:r>
        <w:t xml:space="preserve">In 2011, we </w:t>
      </w:r>
      <w:r w:rsidRPr="00A255EA">
        <w:t>annotate</w:t>
      </w:r>
      <w:r>
        <w:t>d</w:t>
      </w:r>
      <w:r w:rsidRPr="00A255EA">
        <w:t xml:space="preserve"> twice as many eukaryotic genomes as</w:t>
      </w:r>
      <w:r>
        <w:t xml:space="preserve"> in any previous year and </w:t>
      </w:r>
      <w:r w:rsidR="00441A17">
        <w:t xml:space="preserve">as of the second half of 2013 are </w:t>
      </w:r>
      <w:r>
        <w:t>releasin</w:t>
      </w:r>
      <w:r w:rsidR="00441A17">
        <w:t>g an average of 8</w:t>
      </w:r>
      <w:r>
        <w:t xml:space="preserve"> eukaryotic genome annotations per month.</w:t>
      </w:r>
    </w:p>
    <w:p w14:paraId="5B8576CE" w14:textId="77777777" w:rsidR="00F669C7" w:rsidRDefault="00F669C7" w:rsidP="009B0AC2">
      <w:pPr>
        <w:pStyle w:val="Heading2"/>
      </w:pPr>
      <w:r>
        <w:t>Dataflow</w:t>
      </w:r>
    </w:p>
    <w:p w14:paraId="001AD08C" w14:textId="1FBF4934" w:rsidR="00F179AC" w:rsidRDefault="00F179AC" w:rsidP="009B0AC2">
      <w:pPr>
        <w:pStyle w:val="Heading3"/>
      </w:pPr>
      <w:bookmarkStart w:id="1" w:name="_Methods"/>
      <w:bookmarkEnd w:id="1"/>
      <w:r>
        <w:t>Methods</w:t>
      </w:r>
    </w:p>
    <w:p w14:paraId="2FA4471E" w14:textId="77777777" w:rsidR="007B2D33" w:rsidRDefault="00E913B4" w:rsidP="009B0AC2">
      <w:pPr>
        <w:pStyle w:val="Heading4"/>
        <w:rPr>
          <w:rFonts w:eastAsia="MS PGothic" w:cs="Arial"/>
          <w:szCs w:val="24"/>
        </w:rPr>
      </w:pPr>
      <w:r>
        <w:t>Alignments</w:t>
      </w:r>
      <w:r w:rsidR="007B2D33" w:rsidRPr="007B2D33">
        <w:rPr>
          <w:rFonts w:eastAsia="MS PGothic" w:cs="Arial"/>
          <w:szCs w:val="24"/>
        </w:rPr>
        <w:t xml:space="preserve"> </w:t>
      </w:r>
    </w:p>
    <w:p w14:paraId="3C1E4FB8" w14:textId="2598969F" w:rsidR="00E913B4" w:rsidRDefault="007B2D33" w:rsidP="007B2D33">
      <w:r w:rsidRPr="00E913B4">
        <w:t xml:space="preserve">Both Splign </w:t>
      </w:r>
      <w:r w:rsidR="00B05565">
        <w:t xml:space="preserve">(1) </w:t>
      </w:r>
      <w:r w:rsidRPr="00E913B4">
        <w:t>and ProSplign are global alignment tools</w:t>
      </w:r>
      <w:r>
        <w:t xml:space="preserve"> that </w:t>
      </w:r>
      <w:r w:rsidR="00AA1C2C">
        <w:t xml:space="preserve">enable </w:t>
      </w:r>
      <w:r>
        <w:t xml:space="preserve">alignment of transcripts and proteins with high resolution of splice sites. The computational cost of these algorithms requires that </w:t>
      </w:r>
      <w:r w:rsidR="007F3F1B">
        <w:t>approximate</w:t>
      </w:r>
      <w:r w:rsidR="008A1935">
        <w:t xml:space="preserve"> placements of the query</w:t>
      </w:r>
      <w:r w:rsidRPr="00E913B4">
        <w:t xml:space="preserve"> sequences </w:t>
      </w:r>
      <w:r w:rsidR="008A1935">
        <w:t>(transcripts or p</w:t>
      </w:r>
      <w:r w:rsidR="00AA1C2C">
        <w:t>r</w:t>
      </w:r>
      <w:r w:rsidR="008A1935">
        <w:t xml:space="preserve">oteins) </w:t>
      </w:r>
      <w:r w:rsidRPr="00E913B4">
        <w:t xml:space="preserve">on the </w:t>
      </w:r>
      <w:r w:rsidR="008A1935">
        <w:t xml:space="preserve">target (genome) </w:t>
      </w:r>
      <w:r>
        <w:t>be first identified with a local alignment tool, such as B</w:t>
      </w:r>
      <w:r w:rsidR="00E10DA3">
        <w:t>LAST</w:t>
      </w:r>
      <w:r w:rsidRPr="00E913B4">
        <w:t xml:space="preserve">. Since </w:t>
      </w:r>
      <w:r>
        <w:t xml:space="preserve">a query </w:t>
      </w:r>
      <w:r w:rsidRPr="00E913B4">
        <w:t xml:space="preserve">often </w:t>
      </w:r>
      <w:r>
        <w:t>aligns at multiple</w:t>
      </w:r>
      <w:r w:rsidRPr="00E913B4">
        <w:t xml:space="preserve"> location</w:t>
      </w:r>
      <w:r>
        <w:t>s</w:t>
      </w:r>
      <w:r w:rsidRPr="00E913B4">
        <w:t>, the B</w:t>
      </w:r>
      <w:r w:rsidR="00E10DA3">
        <w:t>LAST</w:t>
      </w:r>
      <w:r w:rsidRPr="00E913B4">
        <w:t xml:space="preserve"> hits </w:t>
      </w:r>
      <w:r>
        <w:t>are</w:t>
      </w:r>
      <w:r w:rsidRPr="00E913B4">
        <w:t xml:space="preserve"> analyzed</w:t>
      </w:r>
      <w:r>
        <w:t xml:space="preserve"> by the Compart</w:t>
      </w:r>
      <w:r w:rsidRPr="00E913B4">
        <w:t xml:space="preserve"> </w:t>
      </w:r>
      <w:r>
        <w:t xml:space="preserve">algorithm </w:t>
      </w:r>
      <w:r w:rsidRPr="00E913B4">
        <w:t xml:space="preserve">to </w:t>
      </w:r>
      <w:r>
        <w:t>identify compartments prior to run</w:t>
      </w:r>
      <w:r w:rsidR="00AA1C2C">
        <w:t>ning</w:t>
      </w:r>
      <w:r>
        <w:t xml:space="preserve"> Splign or ProSplign</w:t>
      </w:r>
      <w:r w:rsidRPr="00E913B4">
        <w:t>.</w:t>
      </w:r>
    </w:p>
    <w:p w14:paraId="5262FB58" w14:textId="77777777" w:rsidR="007B2D33" w:rsidRDefault="007B2D33" w:rsidP="007B2D33">
      <w:pPr>
        <w:pStyle w:val="Heading4"/>
        <w:spacing w:line="240" w:lineRule="auto"/>
      </w:pPr>
    </w:p>
    <w:p w14:paraId="4269E777" w14:textId="2081E01C" w:rsidR="00E913B4" w:rsidRDefault="00E10DA3" w:rsidP="009B0AC2">
      <w:pPr>
        <w:pStyle w:val="Heading5"/>
      </w:pPr>
      <w:r>
        <w:t>BLAST</w:t>
      </w:r>
    </w:p>
    <w:p w14:paraId="03985685" w14:textId="5A4EEA34" w:rsidR="0006490C" w:rsidRDefault="008A1935" w:rsidP="0006490C">
      <w:r>
        <w:t xml:space="preserve">See </w:t>
      </w:r>
      <w:r w:rsidR="005D7773">
        <w:t xml:space="preserve">the </w:t>
      </w:r>
      <w:hyperlink r:id="rId16" w:history="1">
        <w:r w:rsidR="005D7773" w:rsidRPr="005D7773">
          <w:rPr>
            <w:rStyle w:val="Hyperlink"/>
          </w:rPr>
          <w:t>BLAST chapter</w:t>
        </w:r>
      </w:hyperlink>
      <w:r w:rsidR="005D7773">
        <w:t>.</w:t>
      </w:r>
    </w:p>
    <w:p w14:paraId="23F5C245" w14:textId="77777777" w:rsidR="007B2D33" w:rsidRPr="0006490C" w:rsidRDefault="007B2D33" w:rsidP="0006490C"/>
    <w:p w14:paraId="601CE5D3" w14:textId="77777777" w:rsidR="007B2D33" w:rsidRDefault="00E913B4" w:rsidP="009B0AC2">
      <w:pPr>
        <w:pStyle w:val="Heading5"/>
      </w:pPr>
      <w:r>
        <w:t>Compart algorithm</w:t>
      </w:r>
    </w:p>
    <w:p w14:paraId="2D1D2052" w14:textId="41D79226" w:rsidR="00E913B4" w:rsidRPr="007B2D33" w:rsidRDefault="007B2D33" w:rsidP="007B2D33">
      <w:r w:rsidRPr="007B2D33">
        <w:t xml:space="preserve">A </w:t>
      </w:r>
      <w:r>
        <w:t xml:space="preserve">compartment is defined as a sequence of compatible hits. </w:t>
      </w:r>
      <w:r w:rsidR="001638CE">
        <w:t>T</w:t>
      </w:r>
      <w:r w:rsidR="00E913B4" w:rsidRPr="00E913B4">
        <w:t xml:space="preserve">wo </w:t>
      </w:r>
      <w:r w:rsidR="00AA1C2C">
        <w:t xml:space="preserve">BLAST </w:t>
      </w:r>
      <w:r w:rsidR="00E913B4" w:rsidRPr="00E913B4">
        <w:t xml:space="preserve">hits are </w:t>
      </w:r>
      <w:r w:rsidR="001638CE">
        <w:t xml:space="preserve">said to be </w:t>
      </w:r>
      <w:r w:rsidR="00E913B4" w:rsidRPr="00E913B4">
        <w:t xml:space="preserve">compatible if they follow the natural flow of the target sequence. </w:t>
      </w:r>
      <w:r w:rsidR="001638CE">
        <w:t>On a given strand, the</w:t>
      </w:r>
      <w:r w:rsidR="00E913B4" w:rsidRPr="00E913B4">
        <w:t xml:space="preserve"> relative position of the hits should b</w:t>
      </w:r>
      <w:r w:rsidR="001638CE">
        <w:t xml:space="preserve">e the same on both the </w:t>
      </w:r>
      <w:r>
        <w:t xml:space="preserve">query </w:t>
      </w:r>
      <w:r w:rsidR="00E913B4" w:rsidRPr="00E913B4">
        <w:t>sequence and the genome</w:t>
      </w:r>
      <w:r w:rsidR="001638CE">
        <w:t xml:space="preserve">. </w:t>
      </w:r>
      <w:r w:rsidR="00E913B4" w:rsidRPr="00E913B4">
        <w:t xml:space="preserve">Compatible hits may overlap but </w:t>
      </w:r>
      <w:r w:rsidR="008A1935">
        <w:t>may not be contained within one</w:t>
      </w:r>
      <w:r w:rsidR="003C3B68">
        <w:t xml:space="preserve"> </w:t>
      </w:r>
      <w:r w:rsidR="008A1935">
        <w:t>an</w:t>
      </w:r>
      <w:r w:rsidR="003C3B68">
        <w:t xml:space="preserve">other. </w:t>
      </w:r>
      <w:r>
        <w:t xml:space="preserve">This definition of </w:t>
      </w:r>
      <w:r w:rsidR="00E913B4" w:rsidRPr="00E913B4">
        <w:t>compatibility is transitive.</w:t>
      </w:r>
      <w:r w:rsidRPr="007B2D33">
        <w:t xml:space="preserve"> </w:t>
      </w:r>
    </w:p>
    <w:p w14:paraId="09D0D9B5" w14:textId="759271EC" w:rsidR="00E913B4" w:rsidRDefault="00E913B4" w:rsidP="00E913B4">
      <w:pPr>
        <w:rPr>
          <w:rFonts w:eastAsia="MS PGothic" w:cs="Arial"/>
          <w:szCs w:val="24"/>
        </w:rPr>
      </w:pPr>
      <w:r w:rsidRPr="00E913B4">
        <w:rPr>
          <w:rFonts w:eastAsia="MS PGothic" w:cs="Arial"/>
          <w:szCs w:val="24"/>
        </w:rPr>
        <w:lastRenderedPageBreak/>
        <w:t>The Compart</w:t>
      </w:r>
      <w:r w:rsidR="003C3B68">
        <w:rPr>
          <w:rFonts w:eastAsia="MS PGothic" w:cs="Arial"/>
          <w:szCs w:val="24"/>
        </w:rPr>
        <w:t xml:space="preserve"> algorithm</w:t>
      </w:r>
      <w:r w:rsidRPr="00E913B4">
        <w:rPr>
          <w:rFonts w:eastAsia="MS PGothic" w:cs="Arial"/>
          <w:szCs w:val="24"/>
        </w:rPr>
        <w:t xml:space="preserve"> finds all non-overlapping compact compartments on the genome for a given </w:t>
      </w:r>
      <w:r w:rsidR="007B2D33">
        <w:rPr>
          <w:rFonts w:eastAsia="MS PGothic" w:cs="Arial"/>
          <w:szCs w:val="24"/>
        </w:rPr>
        <w:t xml:space="preserve">query </w:t>
      </w:r>
      <w:r w:rsidRPr="00E913B4">
        <w:rPr>
          <w:rFonts w:eastAsia="MS PGothic" w:cs="Arial"/>
          <w:szCs w:val="24"/>
        </w:rPr>
        <w:t xml:space="preserve">using </w:t>
      </w:r>
      <w:r w:rsidR="00AA1C2C">
        <w:rPr>
          <w:rFonts w:eastAsia="MS PGothic" w:cs="Arial"/>
          <w:szCs w:val="24"/>
        </w:rPr>
        <w:t xml:space="preserve">a </w:t>
      </w:r>
      <w:r w:rsidRPr="00E913B4">
        <w:rPr>
          <w:rFonts w:eastAsia="MS PGothic" w:cs="Arial"/>
          <w:szCs w:val="24"/>
        </w:rPr>
        <w:t xml:space="preserve">maximal coverage algorithm.  Each compartment is assigned </w:t>
      </w:r>
      <w:r w:rsidR="00646A19" w:rsidRPr="00E913B4">
        <w:rPr>
          <w:rFonts w:eastAsia="MS PGothic" w:cs="Arial"/>
          <w:szCs w:val="24"/>
        </w:rPr>
        <w:t>coverage</w:t>
      </w:r>
      <w:r w:rsidR="006428CD">
        <w:rPr>
          <w:rFonts w:eastAsia="MS PGothic" w:cs="Arial"/>
          <w:szCs w:val="24"/>
        </w:rPr>
        <w:t>,</w:t>
      </w:r>
      <w:r w:rsidRPr="00E913B4">
        <w:rPr>
          <w:rFonts w:eastAsia="MS PGothic" w:cs="Arial"/>
          <w:szCs w:val="24"/>
        </w:rPr>
        <w:t xml:space="preserve"> </w:t>
      </w:r>
      <m:oMath>
        <m:sSup>
          <m:sSupPr>
            <m:ctrlPr>
              <w:rPr>
                <w:rFonts w:ascii="Cambria Math" w:eastAsia="MS PGothic" w:hAnsi="Cambria Math" w:cs="Arial"/>
                <w:i/>
                <w:szCs w:val="24"/>
              </w:rPr>
            </m:ctrlPr>
          </m:sSupPr>
          <m:e>
            <m:r>
              <m:rPr>
                <m:sty m:val="p"/>
              </m:rPr>
              <w:rPr>
                <w:rFonts w:ascii="Cambria Math" w:eastAsia="MS PGothic" w:hAnsi="Cambria Math" w:cs="Arial"/>
                <w:szCs w:val="24"/>
              </w:rPr>
              <m:t>Φ</m:t>
            </m:r>
          </m:e>
          <m:sup>
            <m:r>
              <w:rPr>
                <w:rFonts w:ascii="Cambria Math" w:eastAsia="MS PGothic" w:hAnsi="Cambria Math" w:cs="Arial"/>
                <w:szCs w:val="24"/>
              </w:rPr>
              <m:t>c</m:t>
            </m:r>
          </m:sup>
        </m:sSup>
      </m:oMath>
      <w:r w:rsidR="007F3F1B">
        <w:rPr>
          <w:rFonts w:eastAsia="MS PGothic" w:cs="Arial"/>
          <w:szCs w:val="24"/>
        </w:rPr>
        <w:t xml:space="preserve">, </w:t>
      </w:r>
      <w:r w:rsidRPr="00E913B4">
        <w:rPr>
          <w:rFonts w:eastAsia="MS PGothic" w:cs="Arial"/>
          <w:szCs w:val="24"/>
        </w:rPr>
        <w:t>which is a measure of how well it represents the target sequence</w:t>
      </w:r>
      <w:r w:rsidR="007F3F1B">
        <w:rPr>
          <w:rFonts w:eastAsia="MS PGothic" w:cs="Arial"/>
          <w:szCs w:val="24"/>
        </w:rPr>
        <w:t>:</w:t>
      </w:r>
    </w:p>
    <w:p w14:paraId="7FF44156" w14:textId="587B6DDC" w:rsidR="00E913B4" w:rsidRDefault="00DE7EB2" w:rsidP="00E913B4">
      <w:pPr>
        <w:rPr>
          <w:rFonts w:eastAsia="MS PGothic" w:cs="Arial"/>
          <w:szCs w:val="24"/>
        </w:rPr>
      </w:pPr>
      <m:oMathPara>
        <m:oMath>
          <m:sSup>
            <m:sSupPr>
              <m:ctrlPr>
                <w:rPr>
                  <w:rFonts w:ascii="Cambria Math" w:eastAsia="MS PGothic" w:hAnsi="Cambria Math"/>
                  <w:i/>
                  <w:szCs w:val="24"/>
                </w:rPr>
              </m:ctrlPr>
            </m:sSupPr>
            <m:e>
              <m:r>
                <m:rPr>
                  <m:sty m:val="p"/>
                </m:rPr>
                <w:rPr>
                  <w:rFonts w:ascii="Cambria Math" w:eastAsia="MS PGothic" w:hAnsi="Cambria Math"/>
                  <w:szCs w:val="24"/>
                </w:rPr>
                <m:t>Φ</m:t>
              </m:r>
            </m:e>
            <m:sup>
              <m:r>
                <w:rPr>
                  <w:rFonts w:ascii="Cambria Math" w:eastAsia="MS PGothic" w:hAnsi="Cambria Math"/>
                  <w:szCs w:val="24"/>
                </w:rPr>
                <m:t>c</m:t>
              </m:r>
            </m:sup>
          </m:sSup>
          <m:r>
            <w:rPr>
              <w:rFonts w:ascii="Cambria Math" w:eastAsia="MS PGothic" w:hAnsi="Cambria Math"/>
              <w:szCs w:val="24"/>
            </w:rPr>
            <m:t>=</m:t>
          </m:r>
          <m:nary>
            <m:naryPr>
              <m:chr m:val="∑"/>
              <m:limLoc m:val="undOvr"/>
              <m:supHide m:val="1"/>
              <m:ctrlPr>
                <w:rPr>
                  <w:rFonts w:ascii="Cambria Math" w:eastAsia="MS PGothic" w:hAnsi="Cambria Math"/>
                  <w:i/>
                  <w:szCs w:val="24"/>
                </w:rPr>
              </m:ctrlPr>
            </m:naryPr>
            <m:sub>
              <m:r>
                <w:rPr>
                  <w:rFonts w:ascii="Cambria Math" w:eastAsia="MS PGothic" w:hAnsi="Cambria Math"/>
                  <w:szCs w:val="24"/>
                </w:rPr>
                <m:t>h</m:t>
              </m:r>
            </m:sub>
            <m:sup/>
            <m:e>
              <m:sSup>
                <m:sSupPr>
                  <m:ctrlPr>
                    <w:rPr>
                      <w:rFonts w:ascii="Cambria Math" w:eastAsia="MS PGothic" w:hAnsi="Cambria Math"/>
                      <w:i/>
                      <w:szCs w:val="24"/>
                    </w:rPr>
                  </m:ctrlPr>
                </m:sSupPr>
                <m:e>
                  <m:r>
                    <w:rPr>
                      <w:rFonts w:ascii="Cambria Math" w:eastAsia="MS PGothic" w:hAnsi="Cambria Math"/>
                      <w:szCs w:val="24"/>
                    </w:rPr>
                    <m:t>w</m:t>
                  </m:r>
                </m:e>
                <m:sup>
                  <m:r>
                    <w:rPr>
                      <w:rFonts w:ascii="Cambria Math" w:eastAsia="MS PGothic" w:hAnsi="Cambria Math"/>
                      <w:szCs w:val="24"/>
                    </w:rPr>
                    <m:t>h</m:t>
                  </m:r>
                </m:sup>
              </m:sSup>
              <m:sSubSup>
                <m:sSubSupPr>
                  <m:ctrlPr>
                    <w:rPr>
                      <w:rFonts w:ascii="Cambria Math" w:eastAsia="MS PGothic" w:hAnsi="Cambria Math"/>
                      <w:i/>
                      <w:szCs w:val="24"/>
                    </w:rPr>
                  </m:ctrlPr>
                </m:sSubSupPr>
                <m:e>
                  <m:r>
                    <w:rPr>
                      <w:rFonts w:ascii="Cambria Math" w:eastAsia="MS PGothic" w:hAnsi="Cambria Math"/>
                      <w:szCs w:val="24"/>
                    </w:rPr>
                    <m:t>L</m:t>
                  </m:r>
                </m:e>
                <m:sub>
                  <m:r>
                    <m:rPr>
                      <m:nor/>
                    </m:rPr>
                    <w:rPr>
                      <w:rFonts w:ascii="Cambria Math" w:eastAsia="MS PGothic" w:hAnsi="Cambria Math"/>
                      <w:szCs w:val="24"/>
                    </w:rPr>
                    <m:t>eff</m:t>
                  </m:r>
                </m:sub>
                <m:sup>
                  <m:r>
                    <w:rPr>
                      <w:rFonts w:ascii="Cambria Math" w:eastAsia="MS PGothic" w:hAnsi="Cambria Math"/>
                      <w:szCs w:val="24"/>
                    </w:rPr>
                    <m:t>h</m:t>
                  </m:r>
                </m:sup>
              </m:sSubSup>
            </m:e>
          </m:nary>
        </m:oMath>
      </m:oMathPara>
    </w:p>
    <w:p w14:paraId="133B9577" w14:textId="0E295EA7" w:rsidR="003C3B68" w:rsidRDefault="00E913B4" w:rsidP="00E913B4">
      <w:pPr>
        <w:rPr>
          <w:rFonts w:eastAsia="MS PGothic" w:cs="Arial"/>
          <w:szCs w:val="24"/>
        </w:rPr>
      </w:pPr>
      <w:r w:rsidRPr="00E913B4">
        <w:rPr>
          <w:rFonts w:eastAsia="MS PGothic" w:cs="Arial"/>
          <w:szCs w:val="24"/>
        </w:rPr>
        <w:t xml:space="preserve">In this equation </w:t>
      </w:r>
      <m:oMath>
        <m:sSubSup>
          <m:sSubSupPr>
            <m:ctrlPr>
              <w:rPr>
                <w:rFonts w:ascii="Cambria Math" w:eastAsia="MS PGothic" w:hAnsi="Cambria Math" w:cs="Arial"/>
                <w:i/>
                <w:szCs w:val="24"/>
              </w:rPr>
            </m:ctrlPr>
          </m:sSubSupPr>
          <m:e>
            <m:r>
              <w:rPr>
                <w:rFonts w:ascii="Cambria Math" w:eastAsia="MS PGothic" w:hAnsi="Cambria Math" w:cs="Arial"/>
                <w:szCs w:val="24"/>
              </w:rPr>
              <m:t>L</m:t>
            </m:r>
          </m:e>
          <m:sub>
            <m:r>
              <m:rPr>
                <m:nor/>
              </m:rPr>
              <w:rPr>
                <w:rFonts w:eastAsia="MS PGothic" w:cs="Arial"/>
                <w:szCs w:val="24"/>
              </w:rPr>
              <m:t>eff</m:t>
            </m:r>
          </m:sub>
          <m:sup>
            <m:r>
              <w:rPr>
                <w:rFonts w:ascii="Cambria Math" w:eastAsia="MS PGothic" w:hAnsi="Cambria Math" w:cs="Arial"/>
                <w:szCs w:val="24"/>
              </w:rPr>
              <m:t>h</m:t>
            </m:r>
          </m:sup>
        </m:sSubSup>
      </m:oMath>
      <w:r w:rsidRPr="00E913B4">
        <w:rPr>
          <w:rFonts w:eastAsia="MS PGothic" w:cs="Arial"/>
          <w:szCs w:val="24"/>
        </w:rPr>
        <w:t xml:space="preserve"> is the effective length of the hit </w:t>
      </w:r>
      <m:oMath>
        <m:r>
          <w:rPr>
            <w:rFonts w:ascii="Cambria Math" w:eastAsia="MS PGothic" w:hAnsi="Cambria Math" w:cs="Arial"/>
            <w:szCs w:val="24"/>
          </w:rPr>
          <m:t>h</m:t>
        </m:r>
      </m:oMath>
      <w:r w:rsidRPr="00E913B4">
        <w:rPr>
          <w:rFonts w:eastAsia="MS PGothic" w:cs="Arial"/>
          <w:szCs w:val="24"/>
        </w:rPr>
        <w:t xml:space="preserve">. </w:t>
      </w:r>
      <w:r w:rsidR="003C3B68">
        <w:rPr>
          <w:rFonts w:eastAsia="MS PGothic" w:cs="Arial"/>
          <w:szCs w:val="24"/>
        </w:rPr>
        <w:t>It is u</w:t>
      </w:r>
      <w:r w:rsidRPr="00E913B4">
        <w:rPr>
          <w:rFonts w:eastAsia="MS PGothic" w:cs="Arial"/>
          <w:szCs w:val="24"/>
        </w:rPr>
        <w:t>sually the hit length, but if the hit overlaps with a neighbor hit</w:t>
      </w:r>
      <w:r w:rsidR="00AA1C2C">
        <w:rPr>
          <w:rFonts w:eastAsia="MS PGothic" w:cs="Arial"/>
          <w:szCs w:val="24"/>
        </w:rPr>
        <w:t>,</w:t>
      </w:r>
      <w:r w:rsidRPr="00E913B4">
        <w:rPr>
          <w:rFonts w:eastAsia="MS PGothic" w:cs="Arial"/>
          <w:szCs w:val="24"/>
        </w:rPr>
        <w:t xml:space="preserve"> its effective length is decreased by a half of the overlap. </w:t>
      </w:r>
    </w:p>
    <w:p w14:paraId="7B332D4D" w14:textId="0D0ED563" w:rsidR="00E913B4" w:rsidRPr="00E913B4" w:rsidRDefault="003C3B68" w:rsidP="00E913B4">
      <w:pPr>
        <w:rPr>
          <w:rFonts w:eastAsia="MS PGothic" w:cs="Arial"/>
          <w:szCs w:val="24"/>
        </w:rPr>
      </w:pPr>
      <w:r>
        <w:rPr>
          <w:rFonts w:eastAsia="MS PGothic" w:cs="Arial"/>
          <w:szCs w:val="24"/>
        </w:rPr>
        <w:t xml:space="preserve">For cDNA alignments, where </w:t>
      </w:r>
      <w:r w:rsidRPr="00E913B4">
        <w:rPr>
          <w:rFonts w:eastAsia="MS PGothic" w:cs="Arial"/>
          <w:szCs w:val="24"/>
        </w:rPr>
        <w:t>most useful hits are of very high identity</w:t>
      </w:r>
      <w:r>
        <w:rPr>
          <w:rFonts w:eastAsia="MS PGothic" w:cs="Arial"/>
          <w:szCs w:val="24"/>
        </w:rPr>
        <w:t>,</w:t>
      </w:r>
      <w:r w:rsidRPr="00E913B4">
        <w:rPr>
          <w:rFonts w:eastAsia="MS PGothic" w:cs="Arial"/>
          <w:szCs w:val="24"/>
        </w:rPr>
        <w:t xml:space="preserve"> </w:t>
      </w:r>
      <w:r w:rsidR="00E913B4" w:rsidRPr="00E913B4">
        <w:rPr>
          <w:rFonts w:eastAsia="MS PGothic" w:cs="Arial"/>
          <w:szCs w:val="24"/>
        </w:rPr>
        <w:t xml:space="preserve">the weight </w:t>
      </w:r>
      <m:oMath>
        <m:sSup>
          <m:sSupPr>
            <m:ctrlPr>
              <w:rPr>
                <w:rFonts w:ascii="Cambria Math" w:eastAsia="MS PGothic" w:hAnsi="Cambria Math" w:cs="Arial"/>
                <w:i/>
                <w:szCs w:val="24"/>
              </w:rPr>
            </m:ctrlPr>
          </m:sSupPr>
          <m:e>
            <m:r>
              <w:rPr>
                <w:rFonts w:ascii="Cambria Math" w:eastAsia="MS PGothic" w:hAnsi="Cambria Math" w:cs="Arial"/>
                <w:szCs w:val="24"/>
              </w:rPr>
              <m:t>w</m:t>
            </m:r>
          </m:e>
          <m:sup>
            <m:r>
              <w:rPr>
                <w:rFonts w:ascii="Cambria Math" w:eastAsia="MS PGothic" w:hAnsi="Cambria Math" w:cs="Arial"/>
                <w:szCs w:val="24"/>
              </w:rPr>
              <m:t>h</m:t>
            </m:r>
          </m:sup>
        </m:sSup>
      </m:oMath>
      <w:r>
        <w:rPr>
          <w:rFonts w:eastAsia="MS PGothic" w:cs="Arial"/>
          <w:szCs w:val="24"/>
        </w:rPr>
        <w:t xml:space="preserve"> </w:t>
      </w:r>
      <w:r w:rsidR="00E913B4" w:rsidRPr="00E913B4">
        <w:rPr>
          <w:rFonts w:eastAsia="MS PGothic" w:cs="Arial"/>
          <w:szCs w:val="24"/>
        </w:rPr>
        <w:t xml:space="preserve">equals the identity of the hit </w:t>
      </w:r>
      <w:r>
        <w:rPr>
          <w:rFonts w:eastAsia="MS PGothic" w:cs="Arial"/>
          <w:szCs w:val="24"/>
        </w:rPr>
        <w:t xml:space="preserve">and </w:t>
      </w:r>
      <w:r w:rsidR="00E913B4" w:rsidRPr="00E913B4">
        <w:rPr>
          <w:rFonts w:eastAsia="MS PGothic" w:cs="Arial"/>
          <w:szCs w:val="24"/>
        </w:rPr>
        <w:t xml:space="preserve">the coverage </w:t>
      </w:r>
      <m:oMath>
        <m:sSup>
          <m:sSupPr>
            <m:ctrlPr>
              <w:rPr>
                <w:rFonts w:ascii="Cambria Math" w:eastAsia="MS PGothic" w:hAnsi="Cambria Math" w:cs="Arial"/>
                <w:i/>
                <w:szCs w:val="24"/>
              </w:rPr>
            </m:ctrlPr>
          </m:sSupPr>
          <m:e>
            <m:r>
              <m:rPr>
                <m:sty m:val="p"/>
              </m:rPr>
              <w:rPr>
                <w:rFonts w:ascii="Cambria Math" w:eastAsia="MS PGothic" w:hAnsi="Cambria Math" w:cs="Arial"/>
                <w:szCs w:val="24"/>
              </w:rPr>
              <m:t>Φ</m:t>
            </m:r>
          </m:e>
          <m:sup>
            <m:r>
              <w:rPr>
                <w:rFonts w:ascii="Cambria Math" w:eastAsia="MS PGothic" w:hAnsi="Cambria Math" w:cs="Arial"/>
                <w:szCs w:val="24"/>
              </w:rPr>
              <m:t>c</m:t>
            </m:r>
          </m:sup>
        </m:sSup>
      </m:oMath>
      <w:r w:rsidR="00E913B4" w:rsidRPr="00E913B4">
        <w:rPr>
          <w:rFonts w:eastAsia="MS PGothic" w:cs="Arial"/>
          <w:szCs w:val="24"/>
        </w:rPr>
        <w:t xml:space="preserve"> is the number of matches. </w:t>
      </w:r>
      <w:r>
        <w:rPr>
          <w:rFonts w:eastAsia="MS PGothic" w:cs="Arial"/>
          <w:szCs w:val="24"/>
        </w:rPr>
        <w:t>For protein alignments, the</w:t>
      </w:r>
      <w:r w:rsidR="00E913B4" w:rsidRPr="00E913B4">
        <w:rPr>
          <w:rFonts w:eastAsia="MS PGothic" w:cs="Arial"/>
          <w:szCs w:val="24"/>
        </w:rPr>
        <w:t xml:space="preserve"> weight </w:t>
      </w:r>
      <w:r>
        <w:rPr>
          <w:rFonts w:eastAsia="MS PGothic" w:cs="Arial"/>
          <w:szCs w:val="24"/>
        </w:rPr>
        <w:t xml:space="preserve">is a constant </w:t>
      </w:r>
      <w:r w:rsidR="00E913B4" w:rsidRPr="00E913B4">
        <w:rPr>
          <w:rFonts w:eastAsia="MS PGothic" w:cs="Arial"/>
          <w:szCs w:val="24"/>
        </w:rPr>
        <w:t xml:space="preserve">equal 1. In this case the coverage </w:t>
      </w:r>
      <m:oMath>
        <m:sSup>
          <m:sSupPr>
            <m:ctrlPr>
              <w:rPr>
                <w:rFonts w:ascii="Cambria Math" w:eastAsia="MS PGothic" w:hAnsi="Cambria Math" w:cs="Arial"/>
                <w:i/>
                <w:szCs w:val="24"/>
              </w:rPr>
            </m:ctrlPr>
          </m:sSupPr>
          <m:e>
            <m:r>
              <m:rPr>
                <m:sty m:val="p"/>
              </m:rPr>
              <w:rPr>
                <w:rFonts w:ascii="Cambria Math" w:eastAsia="MS PGothic" w:hAnsi="Cambria Math" w:cs="Arial"/>
                <w:szCs w:val="24"/>
              </w:rPr>
              <m:t>Φ</m:t>
            </m:r>
          </m:e>
          <m:sup>
            <m:r>
              <w:rPr>
                <w:rFonts w:ascii="Cambria Math" w:eastAsia="MS PGothic" w:hAnsi="Cambria Math" w:cs="Arial"/>
                <w:szCs w:val="24"/>
              </w:rPr>
              <m:t>c</m:t>
            </m:r>
          </m:sup>
        </m:sSup>
      </m:oMath>
      <w:r w:rsidR="00E913B4" w:rsidRPr="00E913B4">
        <w:rPr>
          <w:rFonts w:eastAsia="MS PGothic" w:cs="Arial"/>
          <w:szCs w:val="24"/>
        </w:rPr>
        <w:t xml:space="preserve"> is simply the target sequence length covered by the hits.</w:t>
      </w:r>
    </w:p>
    <w:p w14:paraId="5C4F3A6A" w14:textId="4D534D48" w:rsidR="00E913B4" w:rsidRPr="00E913B4" w:rsidRDefault="00E913B4" w:rsidP="00E913B4">
      <w:pPr>
        <w:rPr>
          <w:rFonts w:eastAsia="MS PGothic" w:cs="Arial"/>
          <w:szCs w:val="24"/>
        </w:rPr>
      </w:pPr>
      <w:r w:rsidRPr="00E913B4">
        <w:rPr>
          <w:rFonts w:eastAsia="MS PGothic" w:cs="Arial"/>
          <w:szCs w:val="24"/>
        </w:rPr>
        <w:t xml:space="preserve">When there is more than one compartment, the </w:t>
      </w:r>
      <w:r w:rsidR="007B2D33">
        <w:rPr>
          <w:rFonts w:eastAsia="MS PGothic" w:cs="Arial"/>
          <w:szCs w:val="24"/>
        </w:rPr>
        <w:t>query</w:t>
      </w:r>
      <w:r w:rsidRPr="00E913B4">
        <w:rPr>
          <w:rFonts w:eastAsia="MS PGothic" w:cs="Arial"/>
          <w:szCs w:val="24"/>
        </w:rPr>
        <w:t xml:space="preserve"> sequence is covered</w:t>
      </w:r>
      <w:r w:rsidR="009D1764">
        <w:rPr>
          <w:rFonts w:eastAsia="MS PGothic" w:cs="Arial"/>
          <w:szCs w:val="24"/>
        </w:rPr>
        <w:t xml:space="preserve"> </w:t>
      </w:r>
      <w:r w:rsidRPr="00E913B4">
        <w:rPr>
          <w:rFonts w:eastAsia="MS PGothic" w:cs="Arial"/>
          <w:szCs w:val="24"/>
        </w:rPr>
        <w:t xml:space="preserve">multiple times, and to a certain extent finding all compartments is equivalent to maximization of the total coverage. </w:t>
      </w:r>
      <w:r w:rsidR="008A1935">
        <w:rPr>
          <w:rFonts w:eastAsia="MS PGothic" w:cs="Arial"/>
          <w:szCs w:val="24"/>
        </w:rPr>
        <w:t>In the case of exon duplication events,</w:t>
      </w:r>
      <w:r w:rsidRPr="00E913B4">
        <w:rPr>
          <w:rFonts w:eastAsia="MS PGothic" w:cs="Arial"/>
          <w:szCs w:val="24"/>
        </w:rPr>
        <w:t xml:space="preserve"> the additional hits should be ignored rather than turned into additional compartments. Since </w:t>
      </w:r>
      <w:r w:rsidR="008A1935">
        <w:rPr>
          <w:rFonts w:eastAsia="MS PGothic" w:cs="Arial"/>
          <w:szCs w:val="24"/>
        </w:rPr>
        <w:t xml:space="preserve">typically </w:t>
      </w:r>
      <w:r w:rsidRPr="00E913B4">
        <w:rPr>
          <w:rFonts w:eastAsia="MS PGothic" w:cs="Arial"/>
          <w:szCs w:val="24"/>
        </w:rPr>
        <w:t xml:space="preserve">only a relatively small portion of the gene is duplicated we introduce a penalty </w:t>
      </w:r>
      <m:oMath>
        <m:sSub>
          <m:sSubPr>
            <m:ctrlPr>
              <w:rPr>
                <w:rFonts w:ascii="Cambria Math" w:eastAsia="MS PGothic" w:hAnsi="Cambria Math" w:cs="Arial"/>
                <w:i/>
                <w:szCs w:val="24"/>
              </w:rPr>
            </m:ctrlPr>
          </m:sSubPr>
          <m:e>
            <m:r>
              <w:rPr>
                <w:rFonts w:ascii="Cambria Math" w:eastAsia="MS PGothic" w:hAnsi="Cambria Math" w:cs="Arial"/>
                <w:szCs w:val="24"/>
              </w:rPr>
              <m:t>P</m:t>
            </m:r>
          </m:e>
          <m:sub>
            <m:r>
              <m:rPr>
                <m:nor/>
              </m:rPr>
              <w:rPr>
                <w:rFonts w:eastAsia="MS PGothic" w:cs="Arial"/>
                <w:szCs w:val="24"/>
              </w:rPr>
              <m:t>new</m:t>
            </m:r>
          </m:sub>
        </m:sSub>
      </m:oMath>
      <w:r w:rsidRPr="00E913B4">
        <w:rPr>
          <w:rFonts w:eastAsia="MS PGothic" w:cs="Arial"/>
          <w:szCs w:val="24"/>
        </w:rPr>
        <w:t xml:space="preserve"> for an additional compartment. This penalty ensures that a new compartment is created only if there is enough gene material for it. The value of this parameter is usually 25%–40% of the target sequence length. So our maximal coverage algorithm finds the compartments configuration </w:t>
      </w:r>
      <w:r w:rsidR="005D7773">
        <w:rPr>
          <w:rFonts w:eastAsia="MS PGothic" w:cs="Arial"/>
          <w:szCs w:val="24"/>
        </w:rPr>
        <w:t>that</w:t>
      </w:r>
      <w:r w:rsidR="005D7773" w:rsidRPr="00E913B4">
        <w:rPr>
          <w:rFonts w:eastAsia="MS PGothic" w:cs="Arial"/>
          <w:szCs w:val="24"/>
        </w:rPr>
        <w:t xml:space="preserve"> </w:t>
      </w:r>
      <w:r w:rsidRPr="00E913B4">
        <w:rPr>
          <w:rFonts w:eastAsia="MS PGothic" w:cs="Arial"/>
          <w:szCs w:val="24"/>
        </w:rPr>
        <w:t>maximizes the following total coverage</w:t>
      </w:r>
      <w:r w:rsidR="005D7773">
        <w:rPr>
          <w:rFonts w:eastAsia="MS PGothic" w:cs="Arial"/>
          <w:szCs w:val="24"/>
        </w:rPr>
        <w:t>:</w:t>
      </w:r>
    </w:p>
    <w:p w14:paraId="6680ECD7" w14:textId="38A735E8" w:rsidR="00E913B4" w:rsidRPr="00E913B4" w:rsidRDefault="00E913B4" w:rsidP="00E913B4">
      <w:pPr>
        <w:rPr>
          <w:rFonts w:eastAsia="MS PGothic" w:cs="Arial"/>
          <w:szCs w:val="24"/>
        </w:rPr>
      </w:pPr>
      <m:oMathPara>
        <m:oMath>
          <m:r>
            <m:rPr>
              <m:sty m:val="p"/>
            </m:rPr>
            <w:rPr>
              <w:rFonts w:ascii="Cambria Math" w:eastAsia="MS PGothic" w:hAnsi="Cambria Math" w:cs="Arial"/>
              <w:szCs w:val="24"/>
            </w:rPr>
            <m:t>Φ</m:t>
          </m:r>
          <m:r>
            <w:rPr>
              <w:rFonts w:ascii="Cambria Math" w:eastAsia="MS PGothic" w:hAnsi="Cambria Math" w:cs="Arial"/>
              <w:szCs w:val="24"/>
            </w:rPr>
            <m:t>=</m:t>
          </m:r>
          <m:nary>
            <m:naryPr>
              <m:chr m:val="∑"/>
              <m:limLoc m:val="undOvr"/>
              <m:supHide m:val="1"/>
              <m:ctrlPr>
                <w:rPr>
                  <w:rFonts w:ascii="Cambria Math" w:eastAsia="MS PGothic" w:hAnsi="Cambria Math" w:cs="Arial"/>
                  <w:i/>
                  <w:szCs w:val="24"/>
                </w:rPr>
              </m:ctrlPr>
            </m:naryPr>
            <m:sub>
              <m:r>
                <w:rPr>
                  <w:rFonts w:ascii="Cambria Math" w:eastAsia="MS PGothic" w:hAnsi="Cambria Math" w:cs="Arial"/>
                  <w:szCs w:val="24"/>
                </w:rPr>
                <m:t>c</m:t>
              </m:r>
            </m:sub>
            <m:sup/>
            <m:e>
              <m:r>
                <w:rPr>
                  <w:rFonts w:ascii="Cambria Math" w:eastAsia="MS PGothic" w:hAnsi="Cambria Math" w:cs="Arial"/>
                  <w:szCs w:val="24"/>
                </w:rPr>
                <m:t>(</m:t>
              </m:r>
            </m:e>
          </m:nary>
          <m:sSup>
            <m:sSupPr>
              <m:ctrlPr>
                <w:rPr>
                  <w:rFonts w:ascii="Cambria Math" w:eastAsia="MS PGothic" w:hAnsi="Cambria Math" w:cs="Arial"/>
                  <w:i/>
                  <w:szCs w:val="24"/>
                </w:rPr>
              </m:ctrlPr>
            </m:sSupPr>
            <m:e>
              <m:r>
                <m:rPr>
                  <m:sty m:val="p"/>
                </m:rPr>
                <w:rPr>
                  <w:rFonts w:ascii="Cambria Math" w:eastAsia="MS PGothic" w:hAnsi="Cambria Math" w:cs="Arial"/>
                  <w:szCs w:val="24"/>
                </w:rPr>
                <m:t>Φ</m:t>
              </m:r>
            </m:e>
            <m:sup>
              <m:r>
                <w:rPr>
                  <w:rFonts w:ascii="Cambria Math" w:eastAsia="MS PGothic" w:hAnsi="Cambria Math" w:cs="Arial"/>
                  <w:szCs w:val="24"/>
                </w:rPr>
                <m:t>c</m:t>
              </m:r>
            </m:sup>
          </m:sSup>
          <m:r>
            <w:rPr>
              <w:rFonts w:ascii="Cambria Math" w:eastAsia="MS PGothic" w:hAnsi="Cambria Math" w:cs="Arial"/>
              <w:szCs w:val="24"/>
            </w:rPr>
            <m:t>-</m:t>
          </m:r>
          <m:sSub>
            <m:sSubPr>
              <m:ctrlPr>
                <w:rPr>
                  <w:rFonts w:ascii="Cambria Math" w:eastAsia="MS PGothic" w:hAnsi="Cambria Math" w:cs="Arial"/>
                  <w:i/>
                  <w:szCs w:val="24"/>
                </w:rPr>
              </m:ctrlPr>
            </m:sSubPr>
            <m:e>
              <m:r>
                <w:rPr>
                  <w:rFonts w:ascii="Cambria Math" w:eastAsia="MS PGothic" w:hAnsi="Cambria Math" w:cs="Arial"/>
                  <w:szCs w:val="24"/>
                </w:rPr>
                <m:t>P</m:t>
              </m:r>
            </m:e>
            <m:sub>
              <m:r>
                <m:rPr>
                  <m:nor/>
                </m:rPr>
                <w:rPr>
                  <w:rFonts w:eastAsia="MS PGothic" w:cs="Arial"/>
                  <w:szCs w:val="24"/>
                </w:rPr>
                <m:t>new</m:t>
              </m:r>
            </m:sub>
          </m:sSub>
          <m:r>
            <w:rPr>
              <w:rFonts w:ascii="Cambria Math" w:eastAsia="MS PGothic" w:hAnsi="Cambria Math" w:cs="Arial"/>
              <w:szCs w:val="24"/>
            </w:rPr>
            <m:t>)</m:t>
          </m:r>
        </m:oMath>
      </m:oMathPara>
    </w:p>
    <w:p w14:paraId="6CA79F40" w14:textId="4CD9F6C4" w:rsidR="00E913B4" w:rsidRPr="00E913B4" w:rsidRDefault="00E913B4" w:rsidP="00E913B4">
      <w:pPr>
        <w:rPr>
          <w:rFonts w:eastAsia="MS PGothic" w:cs="Arial"/>
          <w:szCs w:val="24"/>
        </w:rPr>
      </w:pPr>
      <w:r w:rsidRPr="00E913B4">
        <w:rPr>
          <w:rFonts w:eastAsia="MS PGothic" w:cs="Arial"/>
          <w:szCs w:val="24"/>
        </w:rPr>
        <w:t>The process of optimization is performed very effectively using the dynamic</w:t>
      </w:r>
      <w:r w:rsidR="009D1764">
        <w:rPr>
          <w:rFonts w:eastAsia="MS PGothic" w:cs="Arial"/>
          <w:szCs w:val="24"/>
        </w:rPr>
        <w:t xml:space="preserve"> </w:t>
      </w:r>
      <w:r w:rsidRPr="00E913B4">
        <w:rPr>
          <w:rFonts w:eastAsia="MS PGothic" w:cs="Arial"/>
          <w:szCs w:val="24"/>
        </w:rPr>
        <w:t>programming algorithm.</w:t>
      </w:r>
    </w:p>
    <w:p w14:paraId="2D1D9EE3" w14:textId="77777777" w:rsidR="00E913B4" w:rsidRDefault="00E913B4" w:rsidP="00E913B4">
      <w:pPr>
        <w:rPr>
          <w:rFonts w:eastAsia="MS PGothic" w:cs="Arial"/>
          <w:szCs w:val="24"/>
        </w:rPr>
      </w:pPr>
    </w:p>
    <w:p w14:paraId="64652369" w14:textId="060E9CB1" w:rsidR="00E913B4" w:rsidRDefault="00E913B4" w:rsidP="009B0AC2">
      <w:pPr>
        <w:pStyle w:val="Heading5"/>
      </w:pPr>
      <w:r>
        <w:t xml:space="preserve">Splign – </w:t>
      </w:r>
      <w:r w:rsidR="00D85240">
        <w:t>T</w:t>
      </w:r>
      <w:r>
        <w:t>ranscript alignment</w:t>
      </w:r>
    </w:p>
    <w:p w14:paraId="6277DE69" w14:textId="3CA2D200" w:rsidR="009D1764" w:rsidRPr="009D1764" w:rsidRDefault="009D1764" w:rsidP="009D1764">
      <w:r w:rsidRPr="009D1764">
        <w:t xml:space="preserve">Splign </w:t>
      </w:r>
      <w:r w:rsidR="00B05565">
        <w:t>(1)</w:t>
      </w:r>
      <w:r w:rsidRPr="009D1764">
        <w:t xml:space="preserve"> is a tool for aligning spliced cDNA sequences against their genomic counterparts</w:t>
      </w:r>
      <w:r w:rsidR="00055B31">
        <w:t xml:space="preserve"> using pre-computed compartments</w:t>
      </w:r>
      <w:r w:rsidRPr="009D1764">
        <w:t xml:space="preserve">. The program produces accurate spliced alignments via solving a score </w:t>
      </w:r>
      <m:oMath>
        <m:r>
          <w:rPr>
            <w:rFonts w:ascii="Cambria Math" w:hAnsi="Cambria Math"/>
          </w:rPr>
          <m:t>S</m:t>
        </m:r>
      </m:oMath>
      <w:r w:rsidRPr="009D1764">
        <w:t xml:space="preserve"> optimization problem formulated specifically to account for splice signals and introns. </w:t>
      </w:r>
    </w:p>
    <w:p w14:paraId="2B9C5C47" w14:textId="77777777" w:rsidR="009D1764" w:rsidRPr="009D1764" w:rsidRDefault="009D1764" w:rsidP="009D1764"/>
    <w:p w14:paraId="288CEC7B" w14:textId="0B1B0B42" w:rsidR="009D1764" w:rsidRPr="009D1764" w:rsidRDefault="009D1764" w:rsidP="009D1764">
      <m:oMathPara>
        <m:oMath>
          <m:r>
            <w:rPr>
              <w:rFonts w:ascii="Cambria Math" w:hAnsi="Cambria Math"/>
            </w:rPr>
            <m:t>S=</m:t>
          </m:r>
          <m:sSub>
            <m:sSubPr>
              <m:ctrlPr>
                <w:rPr>
                  <w:rFonts w:ascii="Cambria Math" w:hAnsi="Cambria Math"/>
                  <w:i/>
                </w:rPr>
              </m:ctrlPr>
            </m:sSubPr>
            <m:e>
              <m:r>
                <w:rPr>
                  <w:rFonts w:ascii="Cambria Math" w:hAnsi="Cambria Math"/>
                </w:rPr>
                <m:t>B</m:t>
              </m:r>
            </m:e>
            <m:sub>
              <m:r>
                <m:rPr>
                  <m:nor/>
                </m:rPr>
                <m:t>m</m:t>
              </m:r>
            </m:sub>
          </m:sSub>
          <m:sSub>
            <m:sSubPr>
              <m:ctrlPr>
                <w:rPr>
                  <w:rFonts w:ascii="Cambria Math" w:hAnsi="Cambria Math"/>
                  <w:i/>
                </w:rPr>
              </m:ctrlPr>
            </m:sSubPr>
            <m:e>
              <m:r>
                <w:rPr>
                  <w:rFonts w:ascii="Cambria Math" w:hAnsi="Cambria Math"/>
                </w:rPr>
                <m:t>N</m:t>
              </m:r>
            </m:e>
            <m:sub>
              <m:r>
                <m:rPr>
                  <m:nor/>
                </m:rPr>
                <m:t>m</m:t>
              </m:r>
            </m:sub>
          </m:sSub>
          <m:r>
            <w:rPr>
              <w:rFonts w:ascii="Cambria Math" w:hAnsi="Cambria Math"/>
            </w:rPr>
            <m:t>-</m:t>
          </m:r>
          <m:sSub>
            <m:sSubPr>
              <m:ctrlPr>
                <w:rPr>
                  <w:rFonts w:ascii="Cambria Math" w:hAnsi="Cambria Math"/>
                  <w:i/>
                </w:rPr>
              </m:ctrlPr>
            </m:sSubPr>
            <m:e>
              <m:r>
                <w:rPr>
                  <w:rFonts w:ascii="Cambria Math" w:hAnsi="Cambria Math"/>
                </w:rPr>
                <m:t>P</m:t>
              </m:r>
            </m:e>
            <m:sub>
              <m:r>
                <m:rPr>
                  <m:nor/>
                </m:rPr>
                <m:t>mis</m:t>
              </m:r>
            </m:sub>
          </m:sSub>
          <m:sSub>
            <m:sSubPr>
              <m:ctrlPr>
                <w:rPr>
                  <w:rFonts w:ascii="Cambria Math" w:hAnsi="Cambria Math"/>
                  <w:i/>
                </w:rPr>
              </m:ctrlPr>
            </m:sSubPr>
            <m:e>
              <m:r>
                <w:rPr>
                  <w:rFonts w:ascii="Cambria Math" w:hAnsi="Cambria Math"/>
                </w:rPr>
                <m:t>N</m:t>
              </m:r>
            </m:e>
            <m:sub>
              <m:r>
                <m:rPr>
                  <m:nor/>
                </m:rPr>
                <m:t>mis</m:t>
              </m:r>
            </m:sub>
          </m:sSub>
          <m:r>
            <w:rPr>
              <w:rFonts w:ascii="Cambria Math" w:hAnsi="Cambria Math"/>
            </w:rPr>
            <m:t>-</m:t>
          </m:r>
          <m:nary>
            <m:naryPr>
              <m:chr m:val="∑"/>
              <m:limLoc m:val="undOvr"/>
              <m:supHide m:val="1"/>
              <m:ctrlPr>
                <w:rPr>
                  <w:rFonts w:ascii="Cambria Math" w:hAnsi="Cambria Math"/>
                  <w:i/>
                </w:rPr>
              </m:ctrlPr>
            </m:naryPr>
            <m:sub>
              <m:r>
                <m:rPr>
                  <m:nor/>
                </m:rPr>
                <m:t>gaps</m:t>
              </m:r>
            </m:sub>
            <m:sup/>
            <m:e>
              <m:d>
                <m:dPr>
                  <m:ctrlPr>
                    <w:rPr>
                      <w:rFonts w:ascii="Cambria Math" w:hAnsi="Cambria Math"/>
                      <w:i/>
                    </w:rPr>
                  </m:ctrlPr>
                </m:dPr>
                <m:e>
                  <m:sSub>
                    <m:sSubPr>
                      <m:ctrlPr>
                        <w:rPr>
                          <w:rFonts w:ascii="Cambria Math" w:hAnsi="Cambria Math"/>
                          <w:i/>
                        </w:rPr>
                      </m:ctrlPr>
                    </m:sSubPr>
                    <m:e>
                      <m:r>
                        <w:rPr>
                          <w:rFonts w:ascii="Cambria Math" w:hAnsi="Cambria Math"/>
                        </w:rPr>
                        <m:t>P</m:t>
                      </m:r>
                    </m:e>
                    <m:sub>
                      <m:r>
                        <m:rPr>
                          <m:nor/>
                        </m:rPr>
                        <m:t>gopen</m:t>
                      </m:r>
                    </m:sub>
                  </m:sSub>
                  <m:r>
                    <w:rPr>
                      <w:rFonts w:ascii="Cambria Math" w:hAnsi="Cambria Math"/>
                    </w:rPr>
                    <m:t>+</m:t>
                  </m:r>
                  <m:sSub>
                    <m:sSubPr>
                      <m:ctrlPr>
                        <w:rPr>
                          <w:rFonts w:ascii="Cambria Math" w:hAnsi="Cambria Math"/>
                          <w:i/>
                        </w:rPr>
                      </m:ctrlPr>
                    </m:sSubPr>
                    <m:e>
                      <m:r>
                        <w:rPr>
                          <w:rFonts w:ascii="Cambria Math" w:hAnsi="Cambria Math"/>
                        </w:rPr>
                        <m:t>P</m:t>
                      </m:r>
                    </m:e>
                    <m:sub>
                      <m:r>
                        <m:rPr>
                          <m:nor/>
                        </m:rPr>
                        <m:t>gextend</m:t>
                      </m:r>
                    </m:sub>
                  </m:sSub>
                  <m:r>
                    <w:rPr>
                      <w:rFonts w:ascii="Cambria Math" w:hAnsi="Cambria Math"/>
                    </w:rPr>
                    <m:t>l</m:t>
                  </m:r>
                </m:e>
              </m:d>
            </m:e>
          </m:nary>
          <m:r>
            <w:rPr>
              <w:rFonts w:ascii="Cambria Math" w:hAnsi="Cambria Math"/>
            </w:rPr>
            <m:t>-</m:t>
          </m:r>
          <m:nary>
            <m:naryPr>
              <m:chr m:val="∑"/>
              <m:limLoc m:val="undOvr"/>
              <m:supHide m:val="1"/>
              <m:ctrlPr>
                <w:rPr>
                  <w:rFonts w:ascii="Cambria Math" w:hAnsi="Cambria Math"/>
                  <w:i/>
                </w:rPr>
              </m:ctrlPr>
            </m:naryPr>
            <m:sub>
              <m:r>
                <m:rPr>
                  <m:nor/>
                </m:rPr>
                <m:t>introns</m:t>
              </m:r>
            </m:sub>
            <m:sup/>
            <m:e>
              <m:d>
                <m:dPr>
                  <m:ctrlPr>
                    <w:rPr>
                      <w:rFonts w:ascii="Cambria Math" w:hAnsi="Cambria Math"/>
                      <w:i/>
                    </w:rPr>
                  </m:ctrlPr>
                </m:dPr>
                <m:e>
                  <m:sSub>
                    <m:sSubPr>
                      <m:ctrlPr>
                        <w:rPr>
                          <w:rFonts w:ascii="Cambria Math" w:hAnsi="Cambria Math"/>
                          <w:i/>
                        </w:rPr>
                      </m:ctrlPr>
                    </m:sSubPr>
                    <m:e>
                      <m:r>
                        <w:rPr>
                          <w:rFonts w:ascii="Cambria Math" w:hAnsi="Cambria Math"/>
                        </w:rPr>
                        <m:t>P</m:t>
                      </m:r>
                    </m:e>
                    <m:sub>
                      <m:r>
                        <m:rPr>
                          <m:nor/>
                        </m:rPr>
                        <m:t>iopen</m:t>
                      </m:r>
                    </m:sub>
                  </m:sSub>
                  <m:r>
                    <w:rPr>
                      <w:rFonts w:ascii="Cambria Math" w:hAnsi="Cambria Math"/>
                    </w:rPr>
                    <m:t>+</m:t>
                  </m:r>
                  <m:sSub>
                    <m:sSubPr>
                      <m:ctrlPr>
                        <w:rPr>
                          <w:rFonts w:ascii="Cambria Math" w:hAnsi="Cambria Math"/>
                          <w:i/>
                        </w:rPr>
                      </m:ctrlPr>
                    </m:sSubPr>
                    <m:e>
                      <m:r>
                        <w:rPr>
                          <w:rFonts w:ascii="Cambria Math" w:hAnsi="Cambria Math"/>
                        </w:rPr>
                        <m:t>P</m:t>
                      </m:r>
                    </m:e>
                    <m:sub>
                      <m:r>
                        <m:rPr>
                          <m:nor/>
                        </m:rPr>
                        <m:t>iextend</m:t>
                      </m:r>
                    </m:sub>
                  </m:sSub>
                  <m:r>
                    <w:rPr>
                      <w:rFonts w:ascii="Cambria Math" w:hAnsi="Cambria Math"/>
                    </w:rPr>
                    <m:t>l</m:t>
                  </m:r>
                </m:e>
              </m:d>
            </m:e>
          </m:nary>
        </m:oMath>
      </m:oMathPara>
    </w:p>
    <w:p w14:paraId="0D464EEB" w14:textId="7C8F1765" w:rsidR="009D1764" w:rsidRPr="009D1764" w:rsidRDefault="009D1764" w:rsidP="009D1764">
      <w:r w:rsidRPr="009D1764">
        <w:t xml:space="preserve">In this formula </w:t>
      </w:r>
      <m:oMath>
        <m:sSub>
          <m:sSubPr>
            <m:ctrlPr>
              <w:rPr>
                <w:rFonts w:ascii="Cambria Math" w:hAnsi="Cambria Math"/>
                <w:i/>
              </w:rPr>
            </m:ctrlPr>
          </m:sSubPr>
          <m:e>
            <m:r>
              <w:rPr>
                <w:rFonts w:ascii="Cambria Math" w:hAnsi="Cambria Math"/>
              </w:rPr>
              <m:t>B</m:t>
            </m:r>
          </m:e>
          <m:sub>
            <m:r>
              <m:rPr>
                <m:nor/>
              </m:rPr>
              <m:t>m</m:t>
            </m:r>
          </m:sub>
        </m:sSub>
      </m:oMath>
      <w:r w:rsidRPr="009D1764">
        <w:t xml:space="preserve"> and </w:t>
      </w:r>
      <m:oMath>
        <m:sSub>
          <m:sSubPr>
            <m:ctrlPr>
              <w:rPr>
                <w:rFonts w:ascii="Cambria Math" w:hAnsi="Cambria Math"/>
                <w:i/>
              </w:rPr>
            </m:ctrlPr>
          </m:sSubPr>
          <m:e>
            <m:r>
              <w:rPr>
                <w:rFonts w:ascii="Cambria Math" w:hAnsi="Cambria Math"/>
              </w:rPr>
              <m:t>N</m:t>
            </m:r>
          </m:e>
          <m:sub>
            <m:r>
              <m:rPr>
                <m:nor/>
              </m:rPr>
              <m:t>m</m:t>
            </m:r>
          </m:sub>
        </m:sSub>
      </m:oMath>
      <w:r w:rsidRPr="009D1764">
        <w:t xml:space="preserve"> are the bonus for a match and the number of matches, </w:t>
      </w:r>
      <m:oMath>
        <m:sSub>
          <m:sSubPr>
            <m:ctrlPr>
              <w:rPr>
                <w:rFonts w:ascii="Cambria Math" w:hAnsi="Cambria Math"/>
                <w:i/>
              </w:rPr>
            </m:ctrlPr>
          </m:sSubPr>
          <m:e>
            <m:r>
              <w:rPr>
                <w:rFonts w:ascii="Cambria Math" w:hAnsi="Cambria Math"/>
              </w:rPr>
              <m:t>P</m:t>
            </m:r>
          </m:e>
          <m:sub>
            <m:r>
              <m:rPr>
                <m:nor/>
              </m:rPr>
              <m:t>mis</m:t>
            </m:r>
          </m:sub>
        </m:sSub>
      </m:oMath>
      <w:r w:rsidRPr="009D1764">
        <w:t xml:space="preserve"> and </w:t>
      </w:r>
      <m:oMath>
        <m:sSub>
          <m:sSubPr>
            <m:ctrlPr>
              <w:rPr>
                <w:rFonts w:ascii="Cambria Math" w:hAnsi="Cambria Math"/>
                <w:i/>
              </w:rPr>
            </m:ctrlPr>
          </m:sSubPr>
          <m:e>
            <m:r>
              <w:rPr>
                <w:rFonts w:ascii="Cambria Math" w:hAnsi="Cambria Math"/>
              </w:rPr>
              <m:t>N</m:t>
            </m:r>
          </m:e>
          <m:sub>
            <m:r>
              <m:rPr>
                <m:nor/>
              </m:rPr>
              <m:t>mis</m:t>
            </m:r>
          </m:sub>
        </m:sSub>
      </m:oMath>
      <w:r w:rsidRPr="009D1764">
        <w:t xml:space="preserve"> </w:t>
      </w:r>
      <w:r w:rsidR="005D7773">
        <w:t xml:space="preserve">, </w:t>
      </w:r>
      <w:r w:rsidRPr="009D1764">
        <w:t xml:space="preserve">are the penalty for a mismatch and the number of mismatches, </w:t>
      </w:r>
      <m:oMath>
        <m:sSub>
          <m:sSubPr>
            <m:ctrlPr>
              <w:rPr>
                <w:rFonts w:ascii="Cambria Math" w:hAnsi="Cambria Math"/>
                <w:i/>
              </w:rPr>
            </m:ctrlPr>
          </m:sSubPr>
          <m:e>
            <m:r>
              <w:rPr>
                <w:rFonts w:ascii="Cambria Math" w:hAnsi="Cambria Math"/>
              </w:rPr>
              <m:t>P</m:t>
            </m:r>
          </m:e>
          <m:sub>
            <m:r>
              <m:rPr>
                <m:nor/>
              </m:rPr>
              <m:t>gopen</m:t>
            </m:r>
          </m:sub>
        </m:sSub>
      </m:oMath>
      <w:r w:rsidRPr="009D1764">
        <w:t xml:space="preserve"> and </w:t>
      </w:r>
      <m:oMath>
        <m:sSub>
          <m:sSubPr>
            <m:ctrlPr>
              <w:rPr>
                <w:rFonts w:ascii="Cambria Math" w:hAnsi="Cambria Math"/>
                <w:i/>
              </w:rPr>
            </m:ctrlPr>
          </m:sSubPr>
          <m:e>
            <m:r>
              <w:rPr>
                <w:rFonts w:ascii="Cambria Math" w:hAnsi="Cambria Math"/>
              </w:rPr>
              <m:t>P</m:t>
            </m:r>
          </m:e>
          <m:sub>
            <m:r>
              <m:rPr>
                <m:nor/>
              </m:rPr>
              <m:t>gextend</m:t>
            </m:r>
          </m:sub>
        </m:sSub>
      </m:oMath>
      <w:r w:rsidRPr="009D1764">
        <w:t xml:space="preserve"> </w:t>
      </w:r>
      <w:r w:rsidR="005D7773">
        <w:t xml:space="preserve">, </w:t>
      </w:r>
      <w:r w:rsidRPr="009D1764">
        <w:t xml:space="preserve">are the penalties for opening and extending a gap. These parameters are similar to the ones used in Blastn. The introns are accounted for by introduction of a special type of gap with </w:t>
      </w:r>
      <m:oMath>
        <m:sSub>
          <m:sSubPr>
            <m:ctrlPr>
              <w:rPr>
                <w:rFonts w:ascii="Cambria Math" w:hAnsi="Cambria Math"/>
                <w:i/>
              </w:rPr>
            </m:ctrlPr>
          </m:sSubPr>
          <m:e>
            <m:r>
              <w:rPr>
                <w:rFonts w:ascii="Cambria Math" w:hAnsi="Cambria Math"/>
              </w:rPr>
              <m:t>P</m:t>
            </m:r>
          </m:e>
          <m:sub>
            <m:r>
              <m:rPr>
                <m:nor/>
              </m:rPr>
              <m:t>iopen</m:t>
            </m:r>
          </m:sub>
        </m:sSub>
      </m:oMath>
      <w:r w:rsidRPr="009D1764">
        <w:t xml:space="preserve"> and </w:t>
      </w:r>
      <m:oMath>
        <m:sSub>
          <m:sSubPr>
            <m:ctrlPr>
              <w:rPr>
                <w:rFonts w:ascii="Cambria Math" w:hAnsi="Cambria Math"/>
                <w:i/>
              </w:rPr>
            </m:ctrlPr>
          </m:sSubPr>
          <m:e>
            <m:r>
              <w:rPr>
                <w:rFonts w:ascii="Cambria Math" w:hAnsi="Cambria Math"/>
              </w:rPr>
              <m:t>P</m:t>
            </m:r>
          </m:e>
          <m:sub>
            <m:r>
              <m:rPr>
                <m:nor/>
              </m:rPr>
              <m:t>iextend</m:t>
            </m:r>
          </m:sub>
        </m:sSub>
      </m:oMath>
      <w:r w:rsidRPr="009D1764">
        <w:t xml:space="preserve"> as the penalties for an opening and </w:t>
      </w:r>
      <w:r w:rsidR="006428CD" w:rsidRPr="009D1764">
        <w:t>exten</w:t>
      </w:r>
      <w:r w:rsidR="006428CD">
        <w:t>ding an intron</w:t>
      </w:r>
      <w:r w:rsidRPr="009D1764">
        <w:t>. The formulation discriminates between the most frequent consensus (GT/AG), less frequent consensus (GC/AG, AT/AC)</w:t>
      </w:r>
      <w:r w:rsidR="005D7773">
        <w:t>,</w:t>
      </w:r>
      <w:r w:rsidRPr="009D1764">
        <w:t xml:space="preserve"> and not consensus donor/acceptor sites by giving different values to </w:t>
      </w:r>
      <m:oMath>
        <m:sSub>
          <m:sSubPr>
            <m:ctrlPr>
              <w:rPr>
                <w:rFonts w:ascii="Cambria Math" w:hAnsi="Cambria Math"/>
                <w:i/>
              </w:rPr>
            </m:ctrlPr>
          </m:sSubPr>
          <m:e>
            <m:r>
              <w:rPr>
                <w:rFonts w:ascii="Cambria Math" w:hAnsi="Cambria Math"/>
              </w:rPr>
              <m:t>P</m:t>
            </m:r>
          </m:e>
          <m:sub>
            <m:r>
              <m:rPr>
                <m:nor/>
              </m:rPr>
              <m:t>iopen</m:t>
            </m:r>
          </m:sub>
        </m:sSub>
      </m:oMath>
      <w:r w:rsidRPr="009D1764">
        <w:t>.</w:t>
      </w:r>
    </w:p>
    <w:p w14:paraId="429D907B" w14:textId="77777777" w:rsidR="002351BC" w:rsidRPr="002351BC" w:rsidRDefault="009D1764" w:rsidP="002351BC">
      <w:r w:rsidRPr="002351BC">
        <w:lastRenderedPageBreak/>
        <w:t xml:space="preserve">Since </w:t>
      </w:r>
      <w:r w:rsidR="003C3B68" w:rsidRPr="002351BC">
        <w:t xml:space="preserve">the complexity of </w:t>
      </w:r>
      <w:r w:rsidRPr="002351BC">
        <w:t xml:space="preserve">solving the global sequence alignment problem </w:t>
      </w:r>
      <w:r w:rsidR="003C3B68" w:rsidRPr="002351BC">
        <w:t>i</w:t>
      </w:r>
      <w:r w:rsidRPr="002351BC">
        <w:t>s proportional to th</w:t>
      </w:r>
      <w:r w:rsidR="003C3B68" w:rsidRPr="002351BC">
        <w:t xml:space="preserve">e product of lengths of the </w:t>
      </w:r>
      <w:r w:rsidRPr="002351BC">
        <w:t xml:space="preserve">sequences, the hits </w:t>
      </w:r>
      <w:r w:rsidR="003C3B68" w:rsidRPr="002351BC">
        <w:t>are</w:t>
      </w:r>
      <w:r w:rsidRPr="002351BC">
        <w:t xml:space="preserve"> arranged into compartments </w:t>
      </w:r>
      <w:r w:rsidR="003C3B68" w:rsidRPr="002351BC">
        <w:t>as described above</w:t>
      </w:r>
      <w:r w:rsidRPr="002351BC">
        <w:t xml:space="preserve"> </w:t>
      </w:r>
      <w:r w:rsidR="003C3B68" w:rsidRPr="002351BC">
        <w:t>and the dynamic programming matrix split</w:t>
      </w:r>
      <w:r w:rsidRPr="002351BC">
        <w:t xml:space="preserve"> into smaller blocks by seeding the global </w:t>
      </w:r>
      <w:r w:rsidR="007B2D33" w:rsidRPr="002351BC">
        <w:t>a</w:t>
      </w:r>
      <w:r w:rsidRPr="002351BC">
        <w:t xml:space="preserve">lignment </w:t>
      </w:r>
      <w:r w:rsidR="007B2D33" w:rsidRPr="002351BC">
        <w:t>with</w:t>
      </w:r>
      <w:r w:rsidRPr="002351BC">
        <w:t xml:space="preserve"> the high identity portion of the hits </w:t>
      </w:r>
      <w:r w:rsidR="007B2D33" w:rsidRPr="002351BC">
        <w:t>(Figure 1)</w:t>
      </w:r>
      <w:r w:rsidRPr="002351BC">
        <w:t>.</w:t>
      </w:r>
      <w:r w:rsidR="007B2D33" w:rsidRPr="002351BC">
        <w:t xml:space="preserve"> </w:t>
      </w:r>
    </w:p>
    <w:p w14:paraId="29A8D796" w14:textId="38B8BE26" w:rsidR="009D1764" w:rsidRDefault="003C3B68" w:rsidP="009D1764">
      <w:r>
        <w:t>For each compartment,</w:t>
      </w:r>
      <w:r w:rsidR="009D1764">
        <w:t xml:space="preserve"> its genomic search space is expanded by the length of query cDNA ends not covered by local alignments. This allows detecting the end exons if they are missed by the local alignment tool </w:t>
      </w:r>
      <w:r w:rsidR="008D2240">
        <w:t xml:space="preserve">for </w:t>
      </w:r>
      <w:r w:rsidR="009D1764">
        <w:t xml:space="preserve">reasons such as </w:t>
      </w:r>
      <w:r w:rsidR="004057B6">
        <w:t>the alignment</w:t>
      </w:r>
      <w:r w:rsidR="009D1764">
        <w:t xml:space="preserve"> length </w:t>
      </w:r>
      <w:r w:rsidR="004057B6">
        <w:t xml:space="preserve">being </w:t>
      </w:r>
      <w:r w:rsidR="009D1764">
        <w:t>shorter than the word size or</w:t>
      </w:r>
      <w:r w:rsidR="008D2240">
        <w:t xml:space="preserve"> the exon</w:t>
      </w:r>
      <w:r w:rsidR="009D1764">
        <w:t xml:space="preserve"> </w:t>
      </w:r>
      <w:r w:rsidR="008D2240">
        <w:t xml:space="preserve">residing in </w:t>
      </w:r>
      <w:r w:rsidR="009D1764">
        <w:t>a masked region. Each hit may correspond to an exon, a part of an exon, or even a number of exons. Therefore, it is important to be conservative when using local alignments for alignment seeding.  Within each compartment, parts of alignments that overlap on the query are dropped. From the remaining alignments, the longest perfectly matching diagonals are extracted, and the</w:t>
      </w:r>
      <w:r w:rsidR="008D2240">
        <w:t xml:space="preserve"> </w:t>
      </w:r>
      <w:r w:rsidR="009D1764">
        <w:t>cores are used to seed the global alignment.</w:t>
      </w:r>
    </w:p>
    <w:p w14:paraId="62F503E9" w14:textId="226382F6" w:rsidR="009D1764" w:rsidRPr="009D1764" w:rsidRDefault="009D1764" w:rsidP="009D1764">
      <w:r>
        <w:t>Hits</w:t>
      </w:r>
      <w:r w:rsidR="00205C43">
        <w:t xml:space="preserve"> </w:t>
      </w:r>
      <w:r>
        <w:t xml:space="preserve">comprising compartments determine whether the query and the subject sequence align </w:t>
      </w:r>
      <w:r w:rsidR="008D2240">
        <w:t>o</w:t>
      </w:r>
      <w:r w:rsidR="004057B6">
        <w:t>n the same strand</w:t>
      </w:r>
      <w:r w:rsidR="007B2D33">
        <w:t xml:space="preserve">. </w:t>
      </w:r>
      <w:r>
        <w:t xml:space="preserve">Most mRNA sequences have natural biological order and positive strand can </w:t>
      </w:r>
      <w:r w:rsidR="004057B6">
        <w:t xml:space="preserve">be assumed when aligning them. </w:t>
      </w:r>
      <w:r>
        <w:t>On the contrary, EST and frequently RNA-Seq sequences are not oriented, so both the original sequence and its reverse complimentary have to be aligned and the strand is determined by comparing the resulting alignments.</w:t>
      </w:r>
    </w:p>
    <w:p w14:paraId="40ECBD4A" w14:textId="5EA3D1F6" w:rsidR="00E913B4" w:rsidRDefault="00E913B4" w:rsidP="009B0AC2">
      <w:pPr>
        <w:pStyle w:val="Heading5"/>
      </w:pPr>
      <w:r>
        <w:t>ProSplign – Protein alignment</w:t>
      </w:r>
    </w:p>
    <w:p w14:paraId="3AC8AA5F" w14:textId="60149E88" w:rsidR="009D1764" w:rsidRPr="009D1764" w:rsidRDefault="009D1764" w:rsidP="009D1764">
      <w:r w:rsidRPr="009D1764">
        <w:t xml:space="preserve">Protein alignments are </w:t>
      </w:r>
      <w:r w:rsidR="00055B31">
        <w:t>produced</w:t>
      </w:r>
      <w:r w:rsidRPr="009D1764">
        <w:t xml:space="preserve"> by ProSplign. Similarly to Splign, ProSplign is a global </w:t>
      </w:r>
      <w:r w:rsidR="00E905E9" w:rsidRPr="009D1764">
        <w:t>protein</w:t>
      </w:r>
      <w:r w:rsidR="00E905E9">
        <w:t>-to-</w:t>
      </w:r>
      <w:r w:rsidR="00E905E9" w:rsidRPr="009D1764">
        <w:t xml:space="preserve">genome </w:t>
      </w:r>
      <w:r w:rsidRPr="009D1764">
        <w:t xml:space="preserve">alignment tool </w:t>
      </w:r>
      <w:r w:rsidR="005D7773">
        <w:t>that</w:t>
      </w:r>
      <w:r w:rsidR="005D7773" w:rsidRPr="009D1764">
        <w:t xml:space="preserve"> </w:t>
      </w:r>
      <w:r w:rsidRPr="009D1764">
        <w:t>produce</w:t>
      </w:r>
      <w:r w:rsidR="00E905E9">
        <w:t>s accurate spliced alignments</w:t>
      </w:r>
      <w:r w:rsidR="00055B31">
        <w:t xml:space="preserve"> from pre-computed compartments</w:t>
      </w:r>
      <w:r w:rsidR="00E905E9">
        <w:t xml:space="preserve">. </w:t>
      </w:r>
      <w:r w:rsidRPr="009D1764">
        <w:t xml:space="preserve">ProSplign uses a </w:t>
      </w:r>
      <w:r w:rsidR="00B05565">
        <w:t>modified Needleman Wunsch type (</w:t>
      </w:r>
      <w:r w:rsidR="00756218">
        <w:t>7</w:t>
      </w:r>
      <w:r w:rsidR="00B05565">
        <w:t>)</w:t>
      </w:r>
      <w:r w:rsidRPr="009D1764">
        <w:t xml:space="preserve"> global alignment algorithm for aligning. ProSplign scores the target protein sequence against translation of the genomic sequence using the following score:</w:t>
      </w:r>
    </w:p>
    <w:p w14:paraId="3F3CC758" w14:textId="77777777" w:rsidR="009D1764" w:rsidRPr="009D1764" w:rsidRDefault="009D1764" w:rsidP="009D1764"/>
    <w:p w14:paraId="19B843BA" w14:textId="0BF571B5" w:rsidR="009D1764" w:rsidRPr="009D1764" w:rsidRDefault="009D1764" w:rsidP="009D1764">
      <m:oMathPara>
        <m:oMath>
          <m:r>
            <w:rPr>
              <w:rFonts w:ascii="Cambria Math" w:hAnsi="Cambria Math"/>
            </w:rPr>
            <m:t>S=</m:t>
          </m:r>
          <m:nary>
            <m:naryPr>
              <m:chr m:val="∑"/>
              <m:limLoc m:val="undOvr"/>
              <m:supHide m:val="1"/>
              <m:ctrlPr>
                <w:rPr>
                  <w:rFonts w:ascii="Cambria Math" w:hAnsi="Cambria Math"/>
                  <w:i/>
                </w:rPr>
              </m:ctrlPr>
            </m:naryPr>
            <m:sub>
              <m:r>
                <m:rPr>
                  <m:nor/>
                </m:rPr>
                <m:t>diag</m:t>
              </m:r>
            </m:sub>
            <m:sup/>
            <m:e>
              <m:sSub>
                <m:sSubPr>
                  <m:ctrlPr>
                    <w:rPr>
                      <w:rFonts w:ascii="Cambria Math" w:hAnsi="Cambria Math"/>
                      <w:i/>
                    </w:rPr>
                  </m:ctrlPr>
                </m:sSubPr>
                <m:e>
                  <m:r>
                    <w:rPr>
                      <w:rFonts w:ascii="Cambria Math" w:hAnsi="Cambria Math"/>
                    </w:rPr>
                    <m:t>S</m:t>
                  </m:r>
                </m:e>
                <m:sub>
                  <m:r>
                    <m:rPr>
                      <m:nor/>
                    </m:rPr>
                    <m:t>diag</m:t>
                  </m:r>
                </m:sub>
              </m:sSub>
            </m:e>
          </m:nary>
          <m:r>
            <w:rPr>
              <w:rFonts w:ascii="Cambria Math" w:hAnsi="Cambria Math"/>
            </w:rPr>
            <m:t>-</m:t>
          </m:r>
          <m:nary>
            <m:naryPr>
              <m:chr m:val="∑"/>
              <m:limLoc m:val="undOvr"/>
              <m:supHide m:val="1"/>
              <m:ctrlPr>
                <w:rPr>
                  <w:rFonts w:ascii="Cambria Math" w:hAnsi="Cambria Math"/>
                  <w:i/>
                </w:rPr>
              </m:ctrlPr>
            </m:naryPr>
            <m:sub>
              <m:r>
                <m:rPr>
                  <m:nor/>
                </m:rPr>
                <m:t>gaps</m:t>
              </m:r>
            </m:sub>
            <m:sup/>
            <m:e>
              <m:d>
                <m:dPr>
                  <m:ctrlPr>
                    <w:rPr>
                      <w:rFonts w:ascii="Cambria Math" w:hAnsi="Cambria Math"/>
                      <w:i/>
                    </w:rPr>
                  </m:ctrlPr>
                </m:dPr>
                <m:e>
                  <m:sSub>
                    <m:sSubPr>
                      <m:ctrlPr>
                        <w:rPr>
                          <w:rFonts w:ascii="Cambria Math" w:hAnsi="Cambria Math"/>
                          <w:i/>
                        </w:rPr>
                      </m:ctrlPr>
                    </m:sSubPr>
                    <m:e>
                      <m:r>
                        <w:rPr>
                          <w:rFonts w:ascii="Cambria Math" w:hAnsi="Cambria Math"/>
                        </w:rPr>
                        <m:t>P</m:t>
                      </m:r>
                    </m:e>
                    <m:sub>
                      <m:r>
                        <m:rPr>
                          <m:nor/>
                        </m:rPr>
                        <m:t>gopen</m:t>
                      </m:r>
                    </m:sub>
                  </m:sSub>
                  <m:r>
                    <w:rPr>
                      <w:rFonts w:ascii="Cambria Math" w:hAnsi="Cambria Math"/>
                    </w:rPr>
                    <m:t>+</m:t>
                  </m:r>
                  <m:sSub>
                    <m:sSubPr>
                      <m:ctrlPr>
                        <w:rPr>
                          <w:rFonts w:ascii="Cambria Math" w:hAnsi="Cambria Math"/>
                          <w:i/>
                        </w:rPr>
                      </m:ctrlPr>
                    </m:sSubPr>
                    <m:e>
                      <m:r>
                        <w:rPr>
                          <w:rFonts w:ascii="Cambria Math" w:hAnsi="Cambria Math"/>
                        </w:rPr>
                        <m:t>P</m:t>
                      </m:r>
                    </m:e>
                    <m:sub>
                      <m:r>
                        <m:rPr>
                          <m:nor/>
                        </m:rPr>
                        <m:t>gextend</m:t>
                      </m:r>
                    </m:sub>
                  </m:sSub>
                  <m:r>
                    <w:rPr>
                      <w:rFonts w:ascii="Cambria Math" w:hAnsi="Cambria Math"/>
                    </w:rPr>
                    <m:t>l</m:t>
                  </m:r>
                </m:e>
              </m:d>
            </m:e>
          </m:nary>
          <m:r>
            <w:rPr>
              <w:rFonts w:ascii="Cambria Math" w:hAnsi="Cambria Math"/>
            </w:rPr>
            <m:t>-</m:t>
          </m:r>
          <m:nary>
            <m:naryPr>
              <m:chr m:val="∑"/>
              <m:limLoc m:val="undOvr"/>
              <m:supHide m:val="1"/>
              <m:ctrlPr>
                <w:rPr>
                  <w:rFonts w:ascii="Cambria Math" w:hAnsi="Cambria Math"/>
                  <w:i/>
                </w:rPr>
              </m:ctrlPr>
            </m:naryPr>
            <m:sub>
              <m:r>
                <m:rPr>
                  <m:nor/>
                </m:rPr>
                <m:t>introns</m:t>
              </m:r>
            </m:sub>
            <m:sup/>
            <m:e>
              <m:d>
                <m:dPr>
                  <m:ctrlPr>
                    <w:rPr>
                      <w:rFonts w:ascii="Cambria Math" w:hAnsi="Cambria Math"/>
                      <w:i/>
                    </w:rPr>
                  </m:ctrlPr>
                </m:dPr>
                <m:e>
                  <m:sSub>
                    <m:sSubPr>
                      <m:ctrlPr>
                        <w:rPr>
                          <w:rFonts w:ascii="Cambria Math" w:hAnsi="Cambria Math"/>
                          <w:i/>
                        </w:rPr>
                      </m:ctrlPr>
                    </m:sSubPr>
                    <m:e>
                      <m:r>
                        <w:rPr>
                          <w:rFonts w:ascii="Cambria Math" w:hAnsi="Cambria Math"/>
                        </w:rPr>
                        <m:t>P</m:t>
                      </m:r>
                    </m:e>
                    <m:sub>
                      <m:r>
                        <m:rPr>
                          <m:nor/>
                        </m:rPr>
                        <m:t>iopen</m:t>
                      </m:r>
                    </m:sub>
                  </m:sSub>
                  <m:r>
                    <w:rPr>
                      <w:rFonts w:ascii="Cambria Math" w:hAnsi="Cambria Math"/>
                    </w:rPr>
                    <m:t>+</m:t>
                  </m:r>
                  <m:sSub>
                    <m:sSubPr>
                      <m:ctrlPr>
                        <w:rPr>
                          <w:rFonts w:ascii="Cambria Math" w:hAnsi="Cambria Math"/>
                          <w:i/>
                        </w:rPr>
                      </m:ctrlPr>
                    </m:sSubPr>
                    <m:e>
                      <m:r>
                        <w:rPr>
                          <w:rFonts w:ascii="Cambria Math" w:hAnsi="Cambria Math"/>
                        </w:rPr>
                        <m:t>P</m:t>
                      </m:r>
                    </m:e>
                    <m:sub>
                      <m:r>
                        <m:rPr>
                          <m:nor/>
                        </m:rPr>
                        <m:t>iextend</m:t>
                      </m:r>
                    </m:sub>
                  </m:sSub>
                  <m:r>
                    <w:rPr>
                      <w:rFonts w:ascii="Cambria Math" w:hAnsi="Cambria Math"/>
                    </w:rPr>
                    <m:t>l</m:t>
                  </m:r>
                </m:e>
              </m:d>
            </m:e>
          </m:nary>
        </m:oMath>
      </m:oMathPara>
    </w:p>
    <w:p w14:paraId="4D0AF85B" w14:textId="77777777" w:rsidR="009D1764" w:rsidRPr="009D1764" w:rsidRDefault="009D1764" w:rsidP="009D1764"/>
    <w:p w14:paraId="38E6A755" w14:textId="04CA77DE" w:rsidR="009D1764" w:rsidRPr="009D1764" w:rsidRDefault="006428CD" w:rsidP="009D1764">
      <w:r>
        <w:t>w</w:t>
      </w:r>
      <w:r w:rsidR="009D1764" w:rsidRPr="009D1764">
        <w:t xml:space="preserve">here </w:t>
      </w:r>
      <m:oMath>
        <m:sSub>
          <m:sSubPr>
            <m:ctrlPr>
              <w:rPr>
                <w:rFonts w:ascii="Cambria Math" w:hAnsi="Cambria Math"/>
                <w:i/>
              </w:rPr>
            </m:ctrlPr>
          </m:sSubPr>
          <m:e>
            <m:r>
              <w:rPr>
                <w:rFonts w:ascii="Cambria Math" w:hAnsi="Cambria Math"/>
              </w:rPr>
              <m:t>S</m:t>
            </m:r>
          </m:e>
          <m:sub>
            <m:r>
              <m:rPr>
                <m:nor/>
              </m:rPr>
              <m:t>diag</m:t>
            </m:r>
          </m:sub>
        </m:sSub>
      </m:oMath>
      <w:r w:rsidR="00FB7449">
        <w:t xml:space="preserve"> is the score for </w:t>
      </w:r>
      <w:r w:rsidR="00264E88">
        <w:t>an un</w:t>
      </w:r>
      <w:r w:rsidR="009D1764" w:rsidRPr="009D1764">
        <w:t xml:space="preserve">gapped part of </w:t>
      </w:r>
      <w:r w:rsidR="00F5412B">
        <w:t xml:space="preserve">the </w:t>
      </w:r>
      <w:r w:rsidR="009D1764" w:rsidRPr="009D1764">
        <w:t xml:space="preserve">alignment calculated using </w:t>
      </w:r>
      <w:r w:rsidR="00264E88">
        <w:t xml:space="preserve">a </w:t>
      </w:r>
      <w:r w:rsidR="009D1764" w:rsidRPr="009D1764">
        <w:t>B</w:t>
      </w:r>
      <w:r w:rsidR="009D08E5">
        <w:t>LOSUM</w:t>
      </w:r>
      <w:r w:rsidR="009D1764" w:rsidRPr="009D1764">
        <w:t xml:space="preserve">62 matrix </w:t>
      </w:r>
      <w:r>
        <w:t>(</w:t>
      </w:r>
      <w:r w:rsidR="00756218">
        <w:t>8</w:t>
      </w:r>
      <w:r>
        <w:t>)</w:t>
      </w:r>
      <w:r w:rsidR="009D1764" w:rsidRPr="009D1764">
        <w:t>. Insertions and deletions</w:t>
      </w:r>
      <w:r w:rsidR="00264E88">
        <w:t xml:space="preserve"> for which the length is a multiple of three</w:t>
      </w:r>
      <w:r w:rsidR="009D1764" w:rsidRPr="009D1764">
        <w:t xml:space="preserve"> are scored with the default Blastp gap penalties </w:t>
      </w:r>
      <m:oMath>
        <m:sSub>
          <m:sSubPr>
            <m:ctrlPr>
              <w:rPr>
                <w:rFonts w:ascii="Cambria Math" w:hAnsi="Cambria Math"/>
                <w:i/>
              </w:rPr>
            </m:ctrlPr>
          </m:sSubPr>
          <m:e>
            <m:r>
              <w:rPr>
                <w:rFonts w:ascii="Cambria Math" w:hAnsi="Cambria Math"/>
              </w:rPr>
              <m:t>P</m:t>
            </m:r>
          </m:e>
          <m:sub>
            <m:r>
              <m:rPr>
                <m:nor/>
              </m:rPr>
              <m:t>gopen</m:t>
            </m:r>
          </m:sub>
        </m:sSub>
      </m:oMath>
      <w:r w:rsidR="009D1764" w:rsidRPr="009D1764">
        <w:t xml:space="preserve"> and </w:t>
      </w:r>
      <m:oMath>
        <m:sSub>
          <m:sSubPr>
            <m:ctrlPr>
              <w:rPr>
                <w:rFonts w:ascii="Cambria Math" w:hAnsi="Cambria Math"/>
                <w:i/>
              </w:rPr>
            </m:ctrlPr>
          </m:sSubPr>
          <m:e>
            <m:r>
              <w:rPr>
                <w:rFonts w:ascii="Cambria Math" w:hAnsi="Cambria Math"/>
              </w:rPr>
              <m:t>P</m:t>
            </m:r>
          </m:e>
          <m:sub>
            <m:r>
              <m:rPr>
                <m:nor/>
              </m:rPr>
              <m:t>gextend</m:t>
            </m:r>
          </m:sub>
        </m:sSub>
      </m:oMath>
      <w:r w:rsidR="009D1764" w:rsidRPr="009D1764">
        <w:t xml:space="preserve">.  Gaps </w:t>
      </w:r>
      <w:r w:rsidR="00264E88">
        <w:t xml:space="preserve">for which the </w:t>
      </w:r>
      <w:r w:rsidR="009D1764" w:rsidRPr="009D1764">
        <w:t xml:space="preserve">length is not a multiple of three are frameshifts and have a much higher opening penalty </w:t>
      </w:r>
      <m:oMath>
        <m:sSub>
          <m:sSubPr>
            <m:ctrlPr>
              <w:rPr>
                <w:rFonts w:ascii="Cambria Math" w:hAnsi="Cambria Math"/>
                <w:i/>
              </w:rPr>
            </m:ctrlPr>
          </m:sSubPr>
          <m:e>
            <m:r>
              <w:rPr>
                <w:rFonts w:ascii="Cambria Math" w:hAnsi="Cambria Math"/>
              </w:rPr>
              <m:t>P</m:t>
            </m:r>
          </m:e>
          <m:sub>
            <m:r>
              <m:rPr>
                <m:nor/>
              </m:rPr>
              <m:t>gopen</m:t>
            </m:r>
          </m:sub>
        </m:sSub>
      </m:oMath>
      <w:r w:rsidR="009D1764" w:rsidRPr="009D1764">
        <w:t>. The introns are scored as a special type of gap with a very small extension cost and an opening cost which is different between the  most frequent consensus splices (GT/AG), less frequent consensus splices (GC/AG,  AT/AC)</w:t>
      </w:r>
      <w:r w:rsidR="005D7773">
        <w:t>,</w:t>
      </w:r>
      <w:r w:rsidR="009D1764" w:rsidRPr="009D1764">
        <w:t xml:space="preserve">  and no</w:t>
      </w:r>
      <w:r w:rsidR="00264E88">
        <w:t>n-</w:t>
      </w:r>
      <w:r w:rsidR="009D1764" w:rsidRPr="009D1764">
        <w:t>consensus splice sites.</w:t>
      </w:r>
    </w:p>
    <w:p w14:paraId="4C110490" w14:textId="0BAA8D04" w:rsidR="009D1764" w:rsidRPr="009D1764" w:rsidRDefault="0079728B" w:rsidP="009D1764">
      <w:r>
        <w:t xml:space="preserve">Unlike Splign, </w:t>
      </w:r>
      <w:r w:rsidRPr="009D1764">
        <w:t xml:space="preserve">ProSplign doesn’t use seeds </w:t>
      </w:r>
      <w:r>
        <w:t xml:space="preserve">because </w:t>
      </w:r>
      <w:r w:rsidR="009D1764" w:rsidRPr="009D1764">
        <w:t xml:space="preserve">Blast hits </w:t>
      </w:r>
      <w:r>
        <w:t xml:space="preserve">for cross-species proteins </w:t>
      </w:r>
      <w:r w:rsidR="009D1764" w:rsidRPr="009D1764">
        <w:t>do not give relia</w:t>
      </w:r>
      <w:r w:rsidR="00E905E9">
        <w:t>ble information about seeds</w:t>
      </w:r>
      <w:r>
        <w:t>. I</w:t>
      </w:r>
      <w:r w:rsidR="009D1764" w:rsidRPr="009D1764">
        <w:t>nstead</w:t>
      </w:r>
      <w:r>
        <w:t>, ProSplign</w:t>
      </w:r>
      <w:r w:rsidR="009D1764" w:rsidRPr="009D1764">
        <w:t xml:space="preserve"> aligns the protein against a slightly extended genomic region identified by Compart as the compartment.</w:t>
      </w:r>
    </w:p>
    <w:p w14:paraId="58CB5D3E" w14:textId="3C7F7D25" w:rsidR="009D1764" w:rsidRPr="009D1764" w:rsidRDefault="009D1764" w:rsidP="009D1764">
      <w:r w:rsidRPr="009D1764">
        <w:t xml:space="preserve">Not all parts of a protein are conserved well enough to provide a reliable alignment. In fact, some parts may not correspond to anything on the genome. </w:t>
      </w:r>
      <w:r w:rsidR="00E905E9">
        <w:t>T</w:t>
      </w:r>
      <w:r w:rsidRPr="009D1764">
        <w:t>he global alignment algorithm will align the whole protein</w:t>
      </w:r>
      <w:r w:rsidR="00E905E9">
        <w:t>,</w:t>
      </w:r>
      <w:r w:rsidRPr="009D1764">
        <w:t xml:space="preserve"> rendering a very low</w:t>
      </w:r>
      <w:r w:rsidR="00264E88">
        <w:t>-</w:t>
      </w:r>
      <w:r w:rsidRPr="009D1764">
        <w:t xml:space="preserve">identity alignment for the non-conserved portions of the protein. These unreliable and often misleading pieces of the alignment are filtered out </w:t>
      </w:r>
      <w:r w:rsidR="007B2D33">
        <w:t xml:space="preserve">by ProSplign </w:t>
      </w:r>
      <w:r w:rsidRPr="009D1764">
        <w:t xml:space="preserve">during </w:t>
      </w:r>
      <w:r w:rsidR="007B2D33">
        <w:t>a</w:t>
      </w:r>
      <w:r w:rsidRPr="009D1764">
        <w:t xml:space="preserve"> post</w:t>
      </w:r>
      <w:r w:rsidR="007B2D33">
        <w:t>-</w:t>
      </w:r>
      <w:r w:rsidRPr="009D1764">
        <w:t>processing step.</w:t>
      </w:r>
    </w:p>
    <w:p w14:paraId="0CC500EC" w14:textId="77777777" w:rsidR="009D1764" w:rsidRPr="009D1764" w:rsidRDefault="009D1764" w:rsidP="009D1764"/>
    <w:p w14:paraId="2E0B3A32" w14:textId="6561DAFD" w:rsidR="00F179AC" w:rsidRDefault="00E913B4" w:rsidP="009B0AC2">
      <w:pPr>
        <w:pStyle w:val="Heading4"/>
        <w:rPr>
          <w:rFonts w:eastAsia="Times"/>
        </w:rPr>
      </w:pPr>
      <w:r>
        <w:rPr>
          <w:rFonts w:eastAsia="Times"/>
        </w:rPr>
        <w:t>Gene prediction</w:t>
      </w:r>
    </w:p>
    <w:p w14:paraId="003A07A0" w14:textId="77E5F28D" w:rsidR="001A3442" w:rsidRPr="001A3442" w:rsidRDefault="001A3442" w:rsidP="00FB7449">
      <w:r>
        <w:t xml:space="preserve">Gnomon is a </w:t>
      </w:r>
      <w:r w:rsidR="00584FB1">
        <w:t xml:space="preserve">two-step </w:t>
      </w:r>
      <w:r>
        <w:t>gene</w:t>
      </w:r>
      <w:r w:rsidR="00584FB1">
        <w:t xml:space="preserve"> </w:t>
      </w:r>
      <w:r w:rsidR="00EB37A4">
        <w:t xml:space="preserve">prediction </w:t>
      </w:r>
      <w:r w:rsidR="007574E1">
        <w:t>program</w:t>
      </w:r>
      <w:r w:rsidR="00EB37A4">
        <w:t xml:space="preserve"> </w:t>
      </w:r>
      <w:r w:rsidR="005660A4">
        <w:t xml:space="preserve">maintained by NCBI. </w:t>
      </w:r>
      <w:r w:rsidR="00584FB1">
        <w:t xml:space="preserve">The Chainer algorithm assembles </w:t>
      </w:r>
      <w:r w:rsidR="00CE2A80">
        <w:t xml:space="preserve">overlapping </w:t>
      </w:r>
      <w:r>
        <w:t>alignment</w:t>
      </w:r>
      <w:r w:rsidR="006A342B">
        <w:t>s</w:t>
      </w:r>
      <w:r w:rsidR="005660A4">
        <w:t xml:space="preserve"> into </w:t>
      </w:r>
      <w:r w:rsidR="006A342B">
        <w:t>“</w:t>
      </w:r>
      <w:r w:rsidR="005660A4">
        <w:t>chains</w:t>
      </w:r>
      <w:r w:rsidR="006A342B">
        <w:t>”</w:t>
      </w:r>
      <w:r w:rsidR="007574E1">
        <w:t xml:space="preserve"> and</w:t>
      </w:r>
      <w:r w:rsidR="00055B31">
        <w:t xml:space="preserve"> is followed by</w:t>
      </w:r>
      <w:r w:rsidR="00584FB1">
        <w:t xml:space="preserve"> the </w:t>
      </w:r>
      <w:r w:rsidR="00584FB1" w:rsidRPr="00055B31">
        <w:rPr>
          <w:i/>
        </w:rPr>
        <w:t>ab initio</w:t>
      </w:r>
      <w:r w:rsidR="00584FB1">
        <w:t xml:space="preserve"> </w:t>
      </w:r>
      <w:r w:rsidR="00F6637D">
        <w:t xml:space="preserve">prediction </w:t>
      </w:r>
      <w:r w:rsidR="00584FB1">
        <w:t xml:space="preserve">step </w:t>
      </w:r>
      <w:r w:rsidR="00055B31">
        <w:t xml:space="preserve">which </w:t>
      </w:r>
      <w:r w:rsidR="005660A4">
        <w:t xml:space="preserve">extends these chains into complete models </w:t>
      </w:r>
      <w:r w:rsidR="00CE2A80">
        <w:t xml:space="preserve">and </w:t>
      </w:r>
      <w:r w:rsidR="005660A4">
        <w:t xml:space="preserve">creates full </w:t>
      </w:r>
      <w:r w:rsidR="005660A4" w:rsidRPr="00CE2A80">
        <w:rPr>
          <w:i/>
        </w:rPr>
        <w:t>ab initio</w:t>
      </w:r>
      <w:r w:rsidR="005660A4">
        <w:t xml:space="preserve"> models</w:t>
      </w:r>
      <w:r w:rsidR="00584FB1">
        <w:t>,</w:t>
      </w:r>
      <w:r w:rsidR="005660A4">
        <w:t xml:space="preserve"> using a Hidden Markov Model</w:t>
      </w:r>
      <w:r w:rsidR="00055B31">
        <w:t xml:space="preserve"> (HMM).</w:t>
      </w:r>
    </w:p>
    <w:p w14:paraId="156F2CA1" w14:textId="650FE817" w:rsidR="009D1764" w:rsidRDefault="009D1764" w:rsidP="009B0AC2">
      <w:pPr>
        <w:pStyle w:val="Heading5"/>
      </w:pPr>
      <w:r>
        <w:t>Chainer</w:t>
      </w:r>
    </w:p>
    <w:p w14:paraId="6091A59C" w14:textId="2206D936" w:rsidR="009D1764" w:rsidRPr="009D1764" w:rsidRDefault="00E905E9" w:rsidP="009D1764">
      <w:r>
        <w:t xml:space="preserve">Spliced alignments obtained using Splign and ProSplign are likely partial, </w:t>
      </w:r>
      <w:r w:rsidR="009D1764" w:rsidRPr="009D1764">
        <w:t>either because the</w:t>
      </w:r>
      <w:r>
        <w:t xml:space="preserve"> aligned sequences are partial </w:t>
      </w:r>
      <w:r w:rsidR="009D1764" w:rsidRPr="009D1764">
        <w:t xml:space="preserve">or in the </w:t>
      </w:r>
      <w:r>
        <w:t>case of protein alignments</w:t>
      </w:r>
      <w:r w:rsidR="009D1764" w:rsidRPr="009D1764">
        <w:t xml:space="preserve"> </w:t>
      </w:r>
      <w:r>
        <w:t>because only conserved portions</w:t>
      </w:r>
      <w:r w:rsidR="009D1764" w:rsidRPr="009D1764">
        <w:t xml:space="preserve"> of the protein could be aligned. </w:t>
      </w:r>
      <w:r w:rsidR="00264E88">
        <w:t xml:space="preserve">Chainer </w:t>
      </w:r>
      <w:r w:rsidR="00CE2A80">
        <w:t>a</w:t>
      </w:r>
      <w:r w:rsidR="009D1764" w:rsidRPr="009D1764">
        <w:t>naly</w:t>
      </w:r>
      <w:r w:rsidR="00264E88">
        <w:t>zes</w:t>
      </w:r>
      <w:r w:rsidR="009D1764" w:rsidRPr="009D1764">
        <w:t xml:space="preserve"> and assembl</w:t>
      </w:r>
      <w:r w:rsidR="00264E88">
        <w:t>es</w:t>
      </w:r>
      <w:r w:rsidR="00CE2A80">
        <w:t xml:space="preserve"> </w:t>
      </w:r>
      <w:r w:rsidR="009D1764" w:rsidRPr="009D1764">
        <w:t xml:space="preserve">these partial alignments </w:t>
      </w:r>
      <w:r w:rsidR="00264E88">
        <w:t xml:space="preserve">to </w:t>
      </w:r>
      <w:r w:rsidR="009D1764" w:rsidRPr="009D1764">
        <w:t xml:space="preserve">provide longer gene models and additional information about alternative </w:t>
      </w:r>
      <w:r w:rsidR="00CE2A80">
        <w:t>variants.</w:t>
      </w:r>
    </w:p>
    <w:p w14:paraId="4BC095E2" w14:textId="53CDBEF0" w:rsidR="009D1764" w:rsidRPr="009D1764" w:rsidRDefault="00A75AFB" w:rsidP="009D1764">
      <w:r>
        <w:t xml:space="preserve">Because of their short length and high redundancy, RNA-Seq </w:t>
      </w:r>
      <w:r w:rsidR="009D1764" w:rsidRPr="009D1764">
        <w:t xml:space="preserve">alignments </w:t>
      </w:r>
      <w:r>
        <w:t xml:space="preserve">with </w:t>
      </w:r>
      <w:r w:rsidR="00264E88">
        <w:t>identical</w:t>
      </w:r>
      <w:r w:rsidR="00CE2A80">
        <w:t xml:space="preserve"> </w:t>
      </w:r>
      <w:r w:rsidR="009D1764" w:rsidRPr="009D1764">
        <w:t>introns</w:t>
      </w:r>
      <w:r>
        <w:t xml:space="preserve"> are </w:t>
      </w:r>
      <w:r w:rsidR="007B2D33">
        <w:t xml:space="preserve">first </w:t>
      </w:r>
      <w:r>
        <w:t>combined</w:t>
      </w:r>
      <w:r w:rsidR="009D1764" w:rsidRPr="009D1764">
        <w:t xml:space="preserve"> into </w:t>
      </w:r>
      <w:r>
        <w:t>single</w:t>
      </w:r>
      <w:r w:rsidR="009D1764" w:rsidRPr="009D1764">
        <w:t xml:space="preserve"> alignment</w:t>
      </w:r>
      <w:r>
        <w:t>s</w:t>
      </w:r>
      <w:r w:rsidR="009D1764" w:rsidRPr="009D1764">
        <w:t xml:space="preserve"> with larger weight</w:t>
      </w:r>
      <w:r>
        <w:t>s</w:t>
      </w:r>
      <w:r w:rsidR="009D1764" w:rsidRPr="009D1764">
        <w:t xml:space="preserve"> (</w:t>
      </w:r>
      <w:r w:rsidR="007B2D33">
        <w:t>Figure 2</w:t>
      </w:r>
      <w:r w:rsidR="009D1764" w:rsidRPr="009D1764">
        <w:t xml:space="preserve">). </w:t>
      </w:r>
      <w:r>
        <w:t>B</w:t>
      </w:r>
      <w:r w:rsidR="009D1764" w:rsidRPr="009D1764">
        <w:t xml:space="preserve">oundaries </w:t>
      </w:r>
      <w:r w:rsidR="007B2D33">
        <w:t xml:space="preserve">of these </w:t>
      </w:r>
      <w:r>
        <w:t xml:space="preserve">“micro-chains” </w:t>
      </w:r>
      <w:r w:rsidR="009D1764" w:rsidRPr="009D1764">
        <w:t xml:space="preserve">don’t cross splices known from other alignments </w:t>
      </w:r>
      <w:r>
        <w:t xml:space="preserve">and their extension is limited to </w:t>
      </w:r>
      <w:r w:rsidR="009D1764" w:rsidRPr="009D1764">
        <w:t xml:space="preserve">20 bp. </w:t>
      </w:r>
    </w:p>
    <w:p w14:paraId="4FC5AA17" w14:textId="04D4A0EC" w:rsidR="008B7D34" w:rsidRDefault="008B7D34" w:rsidP="008B7D34">
      <w:r>
        <w:t>The</w:t>
      </w:r>
      <w:r w:rsidR="00CE2A80">
        <w:t>se</w:t>
      </w:r>
      <w:r>
        <w:t xml:space="preserve"> “micro-chains” are </w:t>
      </w:r>
      <w:r w:rsidR="00264E88">
        <w:t xml:space="preserve">then </w:t>
      </w:r>
      <w:r>
        <w:t xml:space="preserve">combined </w:t>
      </w:r>
      <w:r w:rsidR="007B2D33">
        <w:t xml:space="preserve">by Chainer </w:t>
      </w:r>
      <w:r>
        <w:t xml:space="preserve">with cDNA and protein alignments </w:t>
      </w:r>
      <w:r w:rsidRPr="009D1764">
        <w:t>based on their exon structure compatibility</w:t>
      </w:r>
      <w:r w:rsidR="00263050">
        <w:t xml:space="preserve"> </w:t>
      </w:r>
      <w:r>
        <w:t>using a</w:t>
      </w:r>
      <w:r w:rsidRPr="009D1764">
        <w:t xml:space="preserve"> modified </w:t>
      </w:r>
      <w:r>
        <w:t>version of the</w:t>
      </w:r>
      <w:r w:rsidRPr="009D1764">
        <w:t xml:space="preserve"> Maximal Transcript Alignm</w:t>
      </w:r>
      <w:r>
        <w:t xml:space="preserve">ent algorithm </w:t>
      </w:r>
      <w:r w:rsidR="00B05565">
        <w:t>(</w:t>
      </w:r>
      <w:r w:rsidR="00756218">
        <w:t>9</w:t>
      </w:r>
      <w:r w:rsidR="00B05565">
        <w:t>)</w:t>
      </w:r>
      <w:r w:rsidR="00584FB1">
        <w:t xml:space="preserve"> based on frame compatibility of the coding regions</w:t>
      </w:r>
      <w:r w:rsidRPr="009D1764">
        <w:t xml:space="preserve">. </w:t>
      </w:r>
      <w:r w:rsidR="007B2D33">
        <w:t>For p</w:t>
      </w:r>
      <w:r w:rsidR="007B2D33" w:rsidRPr="009D1764">
        <w:t xml:space="preserve">rotein </w:t>
      </w:r>
      <w:r w:rsidR="007B2D33">
        <w:t xml:space="preserve">and annotated </w:t>
      </w:r>
      <w:r w:rsidR="007B2D33" w:rsidRPr="009D1764">
        <w:t>full</w:t>
      </w:r>
      <w:r w:rsidR="007B2D33">
        <w:t>-</w:t>
      </w:r>
      <w:r w:rsidR="007B2D33" w:rsidRPr="009D1764">
        <w:t>length</w:t>
      </w:r>
      <w:r w:rsidR="007B2D33">
        <w:t xml:space="preserve"> cDNA </w:t>
      </w:r>
      <w:r w:rsidR="007B2D33" w:rsidRPr="009D1764">
        <w:t>alignments</w:t>
      </w:r>
      <w:r w:rsidR="00263050">
        <w:t>,</w:t>
      </w:r>
      <w:r w:rsidR="007B2D33">
        <w:t xml:space="preserve"> t</w:t>
      </w:r>
      <w:r>
        <w:t>he coding regions can be inferred. For other cDNA alignments, possible coding regions are predicted and scored using a</w:t>
      </w:r>
      <w:r w:rsidRPr="009D1764">
        <w:t xml:space="preserve"> 3-periodic fifth-order Markov model for coding propensity and Weight Matrix Method </w:t>
      </w:r>
      <w:r>
        <w:t xml:space="preserve">(WMM) </w:t>
      </w:r>
      <w:r w:rsidRPr="009D1764">
        <w:t>models for splice signals and translation initi</w:t>
      </w:r>
      <w:r w:rsidR="007B2D33">
        <w:t>ation and termination signals</w:t>
      </w:r>
      <w:r w:rsidR="005211E1">
        <w:t xml:space="preserve"> (</w:t>
      </w:r>
      <w:r w:rsidR="00756218">
        <w:t>10</w:t>
      </w:r>
      <w:r w:rsidR="005211E1">
        <w:t>)</w:t>
      </w:r>
      <w:r w:rsidR="007B2D33">
        <w:t xml:space="preserve">. </w:t>
      </w:r>
      <w:r>
        <w:t>All cDNAs with coding sequence</w:t>
      </w:r>
      <w:r w:rsidR="007B2D33">
        <w:t xml:space="preserve"> (CDS)</w:t>
      </w:r>
      <w:r>
        <w:t xml:space="preserve"> </w:t>
      </w:r>
      <w:r w:rsidRPr="009D1764">
        <w:t>scor</w:t>
      </w:r>
      <w:r>
        <w:t>es</w:t>
      </w:r>
      <w:r w:rsidRPr="009D1764">
        <w:t xml:space="preserve"> above a </w:t>
      </w:r>
      <w:r w:rsidR="007B2D33">
        <w:t>given</w:t>
      </w:r>
      <w:r w:rsidRPr="009D1764">
        <w:t xml:space="preserve"> threshold are marked as coding, and the </w:t>
      </w:r>
      <w:r w:rsidR="007B2D33">
        <w:t>CDS</w:t>
      </w:r>
      <w:r>
        <w:t xml:space="preserve"> information is used when assembling chains</w:t>
      </w:r>
      <w:r w:rsidRPr="009D1764">
        <w:t>. In many case</w:t>
      </w:r>
      <w:r>
        <w:t>s,</w:t>
      </w:r>
      <w:r w:rsidRPr="009D1764">
        <w:t xml:space="preserve"> this process determines the orientation of an EST if it was </w:t>
      </w:r>
      <w:r>
        <w:t xml:space="preserve">unknown </w:t>
      </w:r>
      <w:r w:rsidRPr="009D1764">
        <w:t xml:space="preserve">before. RNA-Seq </w:t>
      </w:r>
      <w:r>
        <w:t xml:space="preserve">and some EST </w:t>
      </w:r>
      <w:r w:rsidRPr="009D1764">
        <w:t>alignments are too short to score above the threshold</w:t>
      </w:r>
      <w:r w:rsidR="007B2D33">
        <w:t xml:space="preserve"> and, if they</w:t>
      </w:r>
      <w:r w:rsidRPr="009D1764">
        <w:t xml:space="preserve"> are not spliced</w:t>
      </w:r>
      <w:r w:rsidR="007B2D33">
        <w:t>,</w:t>
      </w:r>
      <w:r w:rsidRPr="009D1764">
        <w:t xml:space="preserve"> their orientation is often also </w:t>
      </w:r>
      <w:r w:rsidR="007B2D33">
        <w:t>un</w:t>
      </w:r>
      <w:r w:rsidRPr="009D1764">
        <w:t xml:space="preserve">known. For these alignments, Chainer will consider </w:t>
      </w:r>
      <w:r w:rsidR="00F6637D">
        <w:t>that</w:t>
      </w:r>
      <w:r w:rsidR="007C3CF9">
        <w:t xml:space="preserve"> t</w:t>
      </w:r>
      <w:r w:rsidR="007B2D33" w:rsidRPr="007B2D33">
        <w:t xml:space="preserve">hese sequences </w:t>
      </w:r>
      <w:r w:rsidR="007C3CF9">
        <w:t>can</w:t>
      </w:r>
      <w:r w:rsidR="007B2D33" w:rsidRPr="007B2D33">
        <w:t xml:space="preserve"> be part of </w:t>
      </w:r>
      <w:r w:rsidR="00691EEB">
        <w:t xml:space="preserve">the </w:t>
      </w:r>
      <w:r w:rsidR="007B2D33" w:rsidRPr="007B2D33">
        <w:t xml:space="preserve">5’ end and harbor a start codon, or be part of the 3’ end and harbor a stop codon, or be internal </w:t>
      </w:r>
      <w:r w:rsidR="005211E1">
        <w:t>to</w:t>
      </w:r>
      <w:r w:rsidR="007B2D33" w:rsidRPr="007B2D33">
        <w:t xml:space="preserve"> the CDS</w:t>
      </w:r>
      <w:r w:rsidR="005211E1">
        <w:t xml:space="preserve"> or </w:t>
      </w:r>
      <w:r w:rsidR="00691EEB">
        <w:t xml:space="preserve">to </w:t>
      </w:r>
      <w:r w:rsidR="005211E1">
        <w:t>a</w:t>
      </w:r>
      <w:r w:rsidR="00204E1C">
        <w:t>n untranslated region</w:t>
      </w:r>
      <w:r w:rsidR="005211E1">
        <w:t xml:space="preserve"> </w:t>
      </w:r>
      <w:r w:rsidR="00204E1C">
        <w:t>(</w:t>
      </w:r>
      <w:r w:rsidR="005211E1">
        <w:t>UTR</w:t>
      </w:r>
      <w:r w:rsidR="00204E1C">
        <w:t>)</w:t>
      </w:r>
      <w:r w:rsidR="00545539">
        <w:t>,</w:t>
      </w:r>
      <w:r w:rsidR="00F6637D">
        <w:t xml:space="preserve"> and select the </w:t>
      </w:r>
      <w:r w:rsidR="00545539">
        <w:t>scenario that contributes to the longest CDS.</w:t>
      </w:r>
    </w:p>
    <w:p w14:paraId="42663E08" w14:textId="60528D6A" w:rsidR="008B7D34" w:rsidRPr="009D1764" w:rsidRDefault="00545539" w:rsidP="008B7D34">
      <w:r>
        <w:t>Afterward,</w:t>
      </w:r>
      <w:r w:rsidR="00204E1C">
        <w:t xml:space="preserve"> </w:t>
      </w:r>
      <w:r w:rsidR="007B2D33">
        <w:t>UTRs</w:t>
      </w:r>
      <w:r w:rsidR="008B7D34" w:rsidRPr="009D1764">
        <w:t xml:space="preserve"> </w:t>
      </w:r>
      <w:r w:rsidR="00FB7449">
        <w:t>are</w:t>
      </w:r>
      <w:r w:rsidR="007B2D33">
        <w:t xml:space="preserve"> added</w:t>
      </w:r>
      <w:r w:rsidR="008B7D34" w:rsidRPr="009D1764">
        <w:t xml:space="preserve"> if the necessary translation init</w:t>
      </w:r>
      <w:r w:rsidR="007B2D33">
        <w:t>iation or termination signals</w:t>
      </w:r>
      <w:r w:rsidR="001A3442">
        <w:t xml:space="preserve"> are present</w:t>
      </w:r>
      <w:r w:rsidR="007B2D33">
        <w:t xml:space="preserve">. </w:t>
      </w:r>
      <w:r w:rsidR="008B7D34" w:rsidRPr="009D1764">
        <w:t>There are no restrictions on the extension of a 5’</w:t>
      </w:r>
      <w:r w:rsidR="00B05565">
        <w:t>-</w:t>
      </w:r>
      <w:r w:rsidR="008B7D34" w:rsidRPr="009D1764">
        <w:t>UTR other than the exon-</w:t>
      </w:r>
      <w:r w:rsidR="007B2D33">
        <w:t>intron structure compatibility.</w:t>
      </w:r>
    </w:p>
    <w:p w14:paraId="5B524BFC" w14:textId="5A08012F" w:rsidR="008B7D34" w:rsidRDefault="008B7D34" w:rsidP="008B7D34">
      <w:r w:rsidRPr="009D1764">
        <w:t>The assembled full</w:t>
      </w:r>
      <w:r w:rsidR="007B2D33">
        <w:t>-</w:t>
      </w:r>
      <w:r w:rsidRPr="009D1764">
        <w:t xml:space="preserve">length chains </w:t>
      </w:r>
      <w:r w:rsidR="00204E1C">
        <w:t>that</w:t>
      </w:r>
      <w:r w:rsidR="00204E1C" w:rsidRPr="009D1764">
        <w:t xml:space="preserve"> </w:t>
      </w:r>
      <w:r w:rsidRPr="009D1764">
        <w:t>share splices or CDS are combined into genes with alternative isoforms. Among the partial chains for a gene</w:t>
      </w:r>
      <w:r w:rsidR="00545539">
        <w:t>,</w:t>
      </w:r>
      <w:r w:rsidRPr="009D1764">
        <w:t xml:space="preserve"> the </w:t>
      </w:r>
      <w:r w:rsidR="00545539">
        <w:t>variant with the longest CDS is</w:t>
      </w:r>
      <w:r w:rsidRPr="009D1764">
        <w:t xml:space="preserve"> selected for extension by </w:t>
      </w:r>
      <w:r w:rsidR="006E103B" w:rsidRPr="006E103B">
        <w:rPr>
          <w:i/>
        </w:rPr>
        <w:t>ab initio</w:t>
      </w:r>
      <w:r w:rsidRPr="009D1764">
        <w:t xml:space="preserve"> prediction.</w:t>
      </w:r>
    </w:p>
    <w:p w14:paraId="35C2C2ED" w14:textId="77777777" w:rsidR="009B0AC2" w:rsidRPr="009D1764" w:rsidRDefault="009B0AC2" w:rsidP="008B7D34"/>
    <w:p w14:paraId="7F39DBEF" w14:textId="49FE46F3" w:rsidR="008B7D34" w:rsidRPr="009D1764" w:rsidRDefault="005660A4" w:rsidP="009B0AC2">
      <w:pPr>
        <w:pStyle w:val="Heading5"/>
      </w:pPr>
      <w:r>
        <w:t>HMM-based prediction</w:t>
      </w:r>
    </w:p>
    <w:p w14:paraId="69B75469" w14:textId="2FCC7C38" w:rsidR="008B7D34" w:rsidRPr="009D1764" w:rsidRDefault="008B7D34" w:rsidP="008B7D34">
      <w:r>
        <w:t>The core algorithm</w:t>
      </w:r>
      <w:r w:rsidR="005660A4">
        <w:t xml:space="preserve"> of the </w:t>
      </w:r>
      <w:r w:rsidR="005660A4" w:rsidRPr="00DA2A38">
        <w:rPr>
          <w:i/>
        </w:rPr>
        <w:t>ab initio</w:t>
      </w:r>
      <w:r w:rsidR="005660A4">
        <w:t xml:space="preserve"> prediction capability of Gnomon</w:t>
      </w:r>
      <w:r w:rsidRPr="009D1764">
        <w:t xml:space="preserve"> is based on Genscan </w:t>
      </w:r>
      <w:r w:rsidR="00B05565">
        <w:t>(</w:t>
      </w:r>
      <w:r w:rsidR="00B34F4F">
        <w:t>5</w:t>
      </w:r>
      <w:r w:rsidR="00B05565">
        <w:t>)</w:t>
      </w:r>
      <w:r w:rsidR="00204E1C">
        <w:t>,</w:t>
      </w:r>
      <w:r w:rsidRPr="009D1764">
        <w:t xml:space="preserve"> which uses a 3-periodic fifth-order </w:t>
      </w:r>
      <w:r w:rsidR="007B2D33">
        <w:t>HMM</w:t>
      </w:r>
      <w:r w:rsidR="0060469F">
        <w:t xml:space="preserve"> </w:t>
      </w:r>
      <w:r w:rsidRPr="009D1764">
        <w:t>for the coding</w:t>
      </w:r>
      <w:r>
        <w:t xml:space="preserve"> propensity </w:t>
      </w:r>
      <w:r w:rsidRPr="009D1764">
        <w:t xml:space="preserve">score </w:t>
      </w:r>
      <w:r>
        <w:t>and incorporates descriptions of the</w:t>
      </w:r>
      <w:r w:rsidRPr="009D1764">
        <w:t xml:space="preserve"> basic</w:t>
      </w:r>
      <w:r>
        <w:t xml:space="preserve"> transcriptional, translational and</w:t>
      </w:r>
      <w:r w:rsidRPr="009D1764">
        <w:t xml:space="preserve"> splic</w:t>
      </w:r>
      <w:r>
        <w:t xml:space="preserve">ing signals, as well as length </w:t>
      </w:r>
      <w:r>
        <w:lastRenderedPageBreak/>
        <w:t>distributions and compositional features of exons, introns</w:t>
      </w:r>
      <w:r w:rsidRPr="009D1764">
        <w:t xml:space="preserve"> and intergenic regions. The most important distinction of Gnomon from Genscan and other </w:t>
      </w:r>
      <w:r w:rsidR="006E103B" w:rsidRPr="006E103B">
        <w:rPr>
          <w:i/>
        </w:rPr>
        <w:t>ab initio</w:t>
      </w:r>
      <w:r w:rsidRPr="009D1764">
        <w:t xml:space="preserve"> prediction </w:t>
      </w:r>
      <w:r>
        <w:t>p</w:t>
      </w:r>
      <w:r w:rsidRPr="009D1764">
        <w:t>rograms is its ability to conform to the supplied alignments and extend and complement them when necessary.</w:t>
      </w:r>
    </w:p>
    <w:p w14:paraId="3C4B0051" w14:textId="40133F7A" w:rsidR="008B7D34" w:rsidRDefault="008B7D34" w:rsidP="008B7D34">
      <w:r w:rsidRPr="009D1764">
        <w:t>Mathemat</w:t>
      </w:r>
      <w:r>
        <w:t xml:space="preserve">ically, an HMM-based </w:t>
      </w:r>
      <w:r w:rsidR="006E103B" w:rsidRPr="006E103B">
        <w:rPr>
          <w:i/>
        </w:rPr>
        <w:t>ab initio</w:t>
      </w:r>
      <w:r>
        <w:t xml:space="preserve"> prediction is a search in the gene</w:t>
      </w:r>
      <w:r w:rsidRPr="009D1764">
        <w:t xml:space="preserve"> configurati</w:t>
      </w:r>
      <w:r>
        <w:t xml:space="preserve">on space for the gene </w:t>
      </w:r>
      <w:r w:rsidR="00204E1C">
        <w:t xml:space="preserve">that </w:t>
      </w:r>
      <w:r>
        <w:t xml:space="preserve">provides the maximal score. If </w:t>
      </w:r>
      <w:r w:rsidRPr="009D1764">
        <w:t>all configurations that are not compatible with the available alignments</w:t>
      </w:r>
      <w:r>
        <w:t xml:space="preserve"> are excluded from the search space</w:t>
      </w:r>
      <w:r w:rsidRPr="009D1764">
        <w:t>, then the optimization process in th</w:t>
      </w:r>
      <w:r>
        <w:t>e resulting</w:t>
      </w:r>
      <w:r w:rsidRPr="009D1764">
        <w:t xml:space="preserve"> collapsed space </w:t>
      </w:r>
      <w:r>
        <w:t>will yield a gene configuration</w:t>
      </w:r>
      <w:r w:rsidRPr="009D1764">
        <w:t xml:space="preserve"> </w:t>
      </w:r>
      <w:r w:rsidR="00204E1C">
        <w:t xml:space="preserve">that </w:t>
      </w:r>
      <w:r>
        <w:t>is possibly suboptimal</w:t>
      </w:r>
      <w:r w:rsidRPr="009D1764">
        <w:t xml:space="preserve"> from the </w:t>
      </w:r>
      <w:r w:rsidR="006E103B" w:rsidRPr="006E103B">
        <w:rPr>
          <w:i/>
        </w:rPr>
        <w:t>ab initio</w:t>
      </w:r>
      <w:r>
        <w:t xml:space="preserve"> point of view but exactly follows the experimental</w:t>
      </w:r>
      <w:r w:rsidRPr="009D1764">
        <w:t xml:space="preserve"> information </w:t>
      </w:r>
      <w:r>
        <w:t>available</w:t>
      </w:r>
      <w:r w:rsidRPr="009D1764">
        <w:t xml:space="preserve">. </w:t>
      </w:r>
      <w:r w:rsidR="007B2D33">
        <w:t>T</w:t>
      </w:r>
      <w:r w:rsidR="007B2D33" w:rsidRPr="009D1764">
        <w:t xml:space="preserve">his </w:t>
      </w:r>
      <w:r w:rsidR="007B2D33">
        <w:t>approach allows</w:t>
      </w:r>
      <w:r w:rsidR="007B2D33" w:rsidRPr="009D1764">
        <w:t xml:space="preserve"> </w:t>
      </w:r>
      <w:r w:rsidR="007B2D33">
        <w:t>extension or connections of p</w:t>
      </w:r>
      <w:r w:rsidRPr="009D1764">
        <w:t>artial</w:t>
      </w:r>
      <w:r w:rsidR="007B2D33">
        <w:t xml:space="preserve"> alignments (Figure </w:t>
      </w:r>
      <w:r w:rsidR="00DA2A38">
        <w:t>3</w:t>
      </w:r>
      <w:r w:rsidR="007B2D33">
        <w:t>)</w:t>
      </w:r>
      <w:r w:rsidRPr="009D1764">
        <w:t xml:space="preserve">. </w:t>
      </w:r>
      <w:r>
        <w:t>Untranslated regions</w:t>
      </w:r>
      <w:r w:rsidR="007B2D33">
        <w:t xml:space="preserve">, if </w:t>
      </w:r>
      <w:r w:rsidRPr="009D1764">
        <w:t>present in the alignment</w:t>
      </w:r>
      <w:r w:rsidR="007B2D33">
        <w:t>s</w:t>
      </w:r>
      <w:r w:rsidRPr="009D1764">
        <w:t xml:space="preserve">, are also included in the gene model. </w:t>
      </w:r>
    </w:p>
    <w:p w14:paraId="1979B8D7" w14:textId="77777777" w:rsidR="009D1764" w:rsidRDefault="009D1764" w:rsidP="007B2D33"/>
    <w:p w14:paraId="5FAA1F37" w14:textId="5A705985" w:rsidR="008B7D34" w:rsidRPr="001638CE" w:rsidRDefault="008B7D34" w:rsidP="008B7D34">
      <w:pPr>
        <w:rPr>
          <w:rFonts w:cs="Arial"/>
        </w:rPr>
      </w:pPr>
      <w:r w:rsidRPr="001638CE">
        <w:rPr>
          <w:rFonts w:eastAsia="MS PGothic" w:cs="Arial"/>
          <w:szCs w:val="24"/>
        </w:rPr>
        <w:t xml:space="preserve">Gnomon recognizes as HMM states coding exons and introns on both strands and intergenic sequences.  Translational and splice signals are described using WMM </w:t>
      </w:r>
      <w:r w:rsidR="00B05565">
        <w:rPr>
          <w:rFonts w:eastAsia="MS PGothic" w:cs="Arial"/>
          <w:szCs w:val="24"/>
        </w:rPr>
        <w:t>(</w:t>
      </w:r>
      <w:r w:rsidR="00756218">
        <w:rPr>
          <w:rFonts w:eastAsia="MS PGothic" w:cs="Arial"/>
          <w:szCs w:val="24"/>
        </w:rPr>
        <w:t>10</w:t>
      </w:r>
      <w:r w:rsidR="00B05565">
        <w:rPr>
          <w:rFonts w:eastAsia="MS PGothic" w:cs="Arial"/>
          <w:szCs w:val="24"/>
        </w:rPr>
        <w:t>) and WAM (</w:t>
      </w:r>
      <w:r w:rsidR="00756218">
        <w:rPr>
          <w:rFonts w:eastAsia="MS PGothic" w:cs="Arial"/>
          <w:szCs w:val="24"/>
        </w:rPr>
        <w:t>11</w:t>
      </w:r>
      <w:r w:rsidR="00B05565">
        <w:rPr>
          <w:rFonts w:eastAsia="MS PGothic" w:cs="Arial"/>
          <w:szCs w:val="24"/>
        </w:rPr>
        <w:t>)</w:t>
      </w:r>
      <w:r w:rsidRPr="001638CE">
        <w:rPr>
          <w:rFonts w:eastAsia="MS PGothic" w:cs="Arial"/>
          <w:szCs w:val="24"/>
        </w:rPr>
        <w:t xml:space="preserve"> models. A 12</w:t>
      </w:r>
      <w:r>
        <w:rPr>
          <w:rFonts w:eastAsia="MS PGothic" w:cs="Arial"/>
          <w:szCs w:val="24"/>
        </w:rPr>
        <w:t>-</w:t>
      </w:r>
      <w:r w:rsidRPr="001638CE">
        <w:rPr>
          <w:rFonts w:eastAsia="MS PGothic" w:cs="Arial"/>
          <w:szCs w:val="24"/>
        </w:rPr>
        <w:t>bp WMM model, beginning 6 bp prior to the initiation codon, is used for the transl</w:t>
      </w:r>
      <w:r w:rsidR="00B05565">
        <w:rPr>
          <w:rFonts w:eastAsia="MS PGothic" w:cs="Arial"/>
          <w:szCs w:val="24"/>
        </w:rPr>
        <w:t>ation initiation signal (</w:t>
      </w:r>
      <w:r w:rsidR="00756218">
        <w:rPr>
          <w:rFonts w:eastAsia="MS PGothic" w:cs="Arial"/>
          <w:szCs w:val="24"/>
        </w:rPr>
        <w:t>12</w:t>
      </w:r>
      <w:r w:rsidR="00B05565">
        <w:rPr>
          <w:rFonts w:eastAsia="MS PGothic" w:cs="Arial"/>
          <w:szCs w:val="24"/>
        </w:rPr>
        <w:t>)</w:t>
      </w:r>
      <w:r w:rsidRPr="001638CE">
        <w:rPr>
          <w:rFonts w:eastAsia="MS PGothic" w:cs="Arial"/>
          <w:szCs w:val="24"/>
        </w:rPr>
        <w:t>. A 6</w:t>
      </w:r>
      <w:r>
        <w:rPr>
          <w:rFonts w:eastAsia="MS PGothic" w:cs="Arial"/>
          <w:szCs w:val="24"/>
        </w:rPr>
        <w:t>-</w:t>
      </w:r>
      <w:r w:rsidRPr="001638CE">
        <w:rPr>
          <w:rFonts w:eastAsia="MS PGothic" w:cs="Arial"/>
          <w:szCs w:val="24"/>
        </w:rPr>
        <w:t>bp first order WAM model starting at the stop codon is used for the translation termination signal. The donor splice signal is described by a 9</w:t>
      </w:r>
      <w:r>
        <w:rPr>
          <w:rFonts w:eastAsia="MS PGothic" w:cs="Arial"/>
          <w:szCs w:val="24"/>
        </w:rPr>
        <w:t>-</w:t>
      </w:r>
      <w:r w:rsidRPr="001638CE">
        <w:rPr>
          <w:rFonts w:eastAsia="MS PGothic" w:cs="Arial"/>
          <w:szCs w:val="24"/>
        </w:rPr>
        <w:t>bp second order WAM model, and the acceptor splice signal is described by a 43</w:t>
      </w:r>
      <w:r>
        <w:rPr>
          <w:rFonts w:eastAsia="MS PGothic" w:cs="Arial"/>
          <w:szCs w:val="24"/>
        </w:rPr>
        <w:t>-</w:t>
      </w:r>
      <w:r w:rsidRPr="001638CE">
        <w:rPr>
          <w:rFonts w:eastAsia="MS PGothic" w:cs="Arial"/>
          <w:szCs w:val="24"/>
        </w:rPr>
        <w:t>bp second order WAM model. Both donor and acceptor models include 3</w:t>
      </w:r>
      <w:r>
        <w:rPr>
          <w:rFonts w:eastAsia="MS PGothic" w:cs="Arial"/>
          <w:szCs w:val="24"/>
        </w:rPr>
        <w:t>-</w:t>
      </w:r>
      <w:r w:rsidRPr="001638CE">
        <w:rPr>
          <w:rFonts w:eastAsia="MS PGothic" w:cs="Arial"/>
          <w:szCs w:val="24"/>
        </w:rPr>
        <w:t>bp of the coding exon. Coding portions of exons are modeled using an inhomogeneous 3-per</w:t>
      </w:r>
      <w:r w:rsidR="00B05565">
        <w:rPr>
          <w:rFonts w:eastAsia="MS PGothic" w:cs="Arial"/>
          <w:szCs w:val="24"/>
        </w:rPr>
        <w:t>iodic fifth-order Markov model (</w:t>
      </w:r>
      <w:r w:rsidR="00631AF8">
        <w:rPr>
          <w:rFonts w:eastAsia="MS PGothic" w:cs="Arial"/>
          <w:szCs w:val="24"/>
        </w:rPr>
        <w:t>13</w:t>
      </w:r>
      <w:r w:rsidR="00B05565">
        <w:rPr>
          <w:rFonts w:eastAsia="MS PGothic" w:cs="Arial"/>
          <w:szCs w:val="24"/>
        </w:rPr>
        <w:t>)</w:t>
      </w:r>
      <w:r w:rsidRPr="001638CE">
        <w:rPr>
          <w:rFonts w:eastAsia="MS PGothic" w:cs="Arial"/>
          <w:szCs w:val="24"/>
        </w:rPr>
        <w:t>. The noncoding states are modeled using a homogeneous fifth-order Markov model.</w:t>
      </w:r>
    </w:p>
    <w:p w14:paraId="06F4CC30" w14:textId="3E1D1C11" w:rsidR="00F179AC" w:rsidRDefault="00F179AC" w:rsidP="009B0AC2">
      <w:pPr>
        <w:pStyle w:val="Heading3"/>
      </w:pPr>
      <w:r>
        <w:t>Input</w:t>
      </w:r>
      <w:r w:rsidR="00D6062C">
        <w:t xml:space="preserve"> data</w:t>
      </w:r>
    </w:p>
    <w:p w14:paraId="12DE19D7" w14:textId="77777777" w:rsidR="00F179AC" w:rsidRDefault="00F179AC" w:rsidP="009B0AC2">
      <w:pPr>
        <w:pStyle w:val="Heading4"/>
      </w:pPr>
      <w:r w:rsidRPr="00FC6D96">
        <w:t>Assemblies</w:t>
      </w:r>
    </w:p>
    <w:p w14:paraId="3EF653F5" w14:textId="1BAAA6CA" w:rsidR="006F52D3" w:rsidRDefault="005452E1" w:rsidP="006F52D3">
      <w:r>
        <w:t xml:space="preserve">The Eukaryotic Annotation Pipeline can </w:t>
      </w:r>
      <w:r w:rsidR="006F52D3">
        <w:t>annotate</w:t>
      </w:r>
      <w:r>
        <w:t xml:space="preserve"> one or multiple assemblies</w:t>
      </w:r>
      <w:r w:rsidR="006F52D3">
        <w:t xml:space="preserve"> at once (see below). All assemblies must be publicly available </w:t>
      </w:r>
      <w:r w:rsidR="00BA1D54">
        <w:t>in the</w:t>
      </w:r>
      <w:r w:rsidR="006F52D3">
        <w:t xml:space="preserve"> Assembly database.</w:t>
      </w:r>
      <w:r w:rsidR="00277974">
        <w:t xml:space="preserve"> </w:t>
      </w:r>
      <w:r>
        <w:t>Since</w:t>
      </w:r>
      <w:r w:rsidR="00545539">
        <w:t xml:space="preserve"> the</w:t>
      </w:r>
      <w:r>
        <w:t xml:space="preserve"> </w:t>
      </w:r>
      <w:r w:rsidR="00277974">
        <w:t xml:space="preserve">INSDC sequence records </w:t>
      </w:r>
      <w:r w:rsidR="00545539">
        <w:t xml:space="preserve">constituting the </w:t>
      </w:r>
      <w:r w:rsidR="00277974">
        <w:t xml:space="preserve">submitted assemblies are owned by submitters and may not be modified by NCBI, all annotation is done on </w:t>
      </w:r>
      <w:r w:rsidR="00AE763A">
        <w:t xml:space="preserve">RefSeq </w:t>
      </w:r>
      <w:r w:rsidR="00277974">
        <w:t xml:space="preserve">copies of the </w:t>
      </w:r>
      <w:r>
        <w:t>INSDC</w:t>
      </w:r>
      <w:r w:rsidR="00277974">
        <w:t xml:space="preserve"> assemblies. </w:t>
      </w:r>
      <w:r w:rsidR="00BA1D54">
        <w:t xml:space="preserve">Prior to the annotation process, </w:t>
      </w:r>
      <w:r w:rsidR="00277974">
        <w:t>RefSeq accessions are assigned to the assembly’s scaffolds and chromosomes</w:t>
      </w:r>
      <w:r w:rsidR="007F252F">
        <w:t xml:space="preserve">. These RefSeq sequences are based on the sequences in the INSDC records, but their records will bear the NCBI annotation. Note also that a </w:t>
      </w:r>
      <w:r w:rsidR="007E3C66">
        <w:t xml:space="preserve">new </w:t>
      </w:r>
      <w:r w:rsidR="00545539">
        <w:t xml:space="preserve">assembly </w:t>
      </w:r>
      <w:r w:rsidR="007E3C66">
        <w:t>accession</w:t>
      </w:r>
      <w:r w:rsidR="007F252F">
        <w:t>,</w:t>
      </w:r>
      <w:r w:rsidR="007E3C66">
        <w:t xml:space="preserve"> with the prefix GCF_ </w:t>
      </w:r>
      <w:r w:rsidR="00204E1C">
        <w:t xml:space="preserve">, </w:t>
      </w:r>
      <w:r w:rsidR="007E3C66">
        <w:t>is given to the assembly</w:t>
      </w:r>
      <w:r w:rsidR="007F252F">
        <w:t xml:space="preserve"> which contains the RefSeq sequences</w:t>
      </w:r>
      <w:r w:rsidR="00BA1D54">
        <w:t xml:space="preserve">. </w:t>
      </w:r>
    </w:p>
    <w:p w14:paraId="64FCF1DF" w14:textId="77777777" w:rsidR="006F52D3" w:rsidRPr="006F52D3" w:rsidRDefault="006F52D3" w:rsidP="006F52D3"/>
    <w:p w14:paraId="6D920154" w14:textId="77777777" w:rsidR="00F179AC" w:rsidRPr="00FC6D96" w:rsidRDefault="00F179AC" w:rsidP="009B0AC2">
      <w:pPr>
        <w:pStyle w:val="Heading4"/>
      </w:pPr>
      <w:r w:rsidRPr="00FC6D96">
        <w:t xml:space="preserve">Source of evidence </w:t>
      </w:r>
    </w:p>
    <w:p w14:paraId="605C863B" w14:textId="4FFF0345" w:rsidR="006C3156" w:rsidRDefault="00726A47" w:rsidP="00036B14">
      <w:pPr>
        <w:spacing w:after="100" w:afterAutospacing="1"/>
        <w:rPr>
          <w:rFonts w:eastAsia="Times New Roman" w:cs="Arial"/>
          <w:szCs w:val="24"/>
        </w:rPr>
      </w:pPr>
      <w:r>
        <w:rPr>
          <w:rFonts w:eastAsia="Times New Roman" w:cs="Arial"/>
          <w:szCs w:val="24"/>
        </w:rPr>
        <w:t>The e</w:t>
      </w:r>
      <w:r w:rsidR="0006490C">
        <w:rPr>
          <w:rFonts w:eastAsia="Times New Roman" w:cs="Arial"/>
          <w:szCs w:val="24"/>
        </w:rPr>
        <w:t>vidence</w:t>
      </w:r>
      <w:r w:rsidR="00FC6D96" w:rsidRPr="00FC6D96">
        <w:rPr>
          <w:rFonts w:eastAsia="Times New Roman" w:cs="Arial"/>
          <w:szCs w:val="24"/>
        </w:rPr>
        <w:t xml:space="preserve"> </w:t>
      </w:r>
      <w:r>
        <w:rPr>
          <w:rFonts w:eastAsia="Times New Roman" w:cs="Arial"/>
          <w:szCs w:val="24"/>
        </w:rPr>
        <w:t xml:space="preserve">used to predict gene models </w:t>
      </w:r>
      <w:r w:rsidR="00AB79CD">
        <w:rPr>
          <w:rFonts w:eastAsia="Times New Roman" w:cs="Arial"/>
          <w:szCs w:val="24"/>
        </w:rPr>
        <w:t xml:space="preserve">is </w:t>
      </w:r>
      <w:r w:rsidR="006C3156">
        <w:rPr>
          <w:rFonts w:eastAsia="Times New Roman" w:cs="Arial"/>
          <w:szCs w:val="24"/>
        </w:rPr>
        <w:t xml:space="preserve">selected </w:t>
      </w:r>
      <w:r>
        <w:rPr>
          <w:rFonts w:eastAsia="Times New Roman" w:cs="Arial"/>
          <w:szCs w:val="24"/>
        </w:rPr>
        <w:t>from</w:t>
      </w:r>
      <w:r w:rsidR="006C3156">
        <w:rPr>
          <w:rFonts w:eastAsia="Times New Roman" w:cs="Arial"/>
          <w:szCs w:val="24"/>
        </w:rPr>
        <w:t xml:space="preserve"> </w:t>
      </w:r>
      <w:r w:rsidR="00AE763A">
        <w:rPr>
          <w:rFonts w:eastAsia="Times New Roman" w:cs="Arial"/>
          <w:szCs w:val="24"/>
        </w:rPr>
        <w:t xml:space="preserve">available </w:t>
      </w:r>
      <w:r w:rsidR="006C3156">
        <w:rPr>
          <w:rFonts w:eastAsia="Times New Roman" w:cs="Arial"/>
          <w:szCs w:val="24"/>
        </w:rPr>
        <w:t>public data. Same-species transcript</w:t>
      </w:r>
      <w:r w:rsidR="00AB79CD">
        <w:rPr>
          <w:rFonts w:eastAsia="Times New Roman" w:cs="Arial"/>
          <w:szCs w:val="24"/>
        </w:rPr>
        <w:t>s</w:t>
      </w:r>
      <w:r w:rsidR="006C3156">
        <w:rPr>
          <w:rFonts w:eastAsia="Times New Roman" w:cs="Arial"/>
          <w:szCs w:val="24"/>
        </w:rPr>
        <w:t>, protein</w:t>
      </w:r>
      <w:r w:rsidR="00AB79CD">
        <w:rPr>
          <w:rFonts w:eastAsia="Times New Roman" w:cs="Arial"/>
          <w:szCs w:val="24"/>
        </w:rPr>
        <w:t>s</w:t>
      </w:r>
      <w:r w:rsidR="00204E1C">
        <w:rPr>
          <w:rFonts w:eastAsia="Times New Roman" w:cs="Arial"/>
          <w:szCs w:val="24"/>
        </w:rPr>
        <w:t>,</w:t>
      </w:r>
      <w:r w:rsidR="006C3156">
        <w:rPr>
          <w:rFonts w:eastAsia="Times New Roman" w:cs="Arial"/>
          <w:szCs w:val="24"/>
        </w:rPr>
        <w:t xml:space="preserve"> and short reads, and if not sufficient,</w:t>
      </w:r>
      <w:r w:rsidR="007B2D33">
        <w:rPr>
          <w:rFonts w:eastAsia="Times New Roman" w:cs="Arial"/>
          <w:szCs w:val="24"/>
        </w:rPr>
        <w:t xml:space="preserve"> transcripts </w:t>
      </w:r>
      <w:r w:rsidR="006C3156">
        <w:rPr>
          <w:rFonts w:eastAsia="Times New Roman" w:cs="Arial"/>
          <w:szCs w:val="24"/>
        </w:rPr>
        <w:t xml:space="preserve">and proteins </w:t>
      </w:r>
      <w:r w:rsidR="007B2D33">
        <w:rPr>
          <w:rFonts w:eastAsia="Times New Roman" w:cs="Arial"/>
          <w:szCs w:val="24"/>
        </w:rPr>
        <w:t xml:space="preserve">from </w:t>
      </w:r>
      <w:r w:rsidR="0082467E">
        <w:rPr>
          <w:rFonts w:eastAsia="Times New Roman" w:cs="Arial"/>
          <w:szCs w:val="24"/>
        </w:rPr>
        <w:t>closely related</w:t>
      </w:r>
      <w:r w:rsidR="006C3156">
        <w:rPr>
          <w:rFonts w:eastAsia="Times New Roman" w:cs="Arial"/>
          <w:szCs w:val="24"/>
        </w:rPr>
        <w:t xml:space="preserve"> species are included. </w:t>
      </w:r>
    </w:p>
    <w:p w14:paraId="2F30865E" w14:textId="58966F62" w:rsidR="00FC6D96" w:rsidRDefault="006C3156" w:rsidP="00036B14">
      <w:pPr>
        <w:spacing w:after="100" w:afterAutospacing="1"/>
        <w:rPr>
          <w:rFonts w:eastAsia="Times New Roman" w:cs="Arial"/>
          <w:szCs w:val="24"/>
        </w:rPr>
      </w:pPr>
      <w:r>
        <w:rPr>
          <w:rFonts w:eastAsia="Times New Roman" w:cs="Arial"/>
          <w:szCs w:val="24"/>
        </w:rPr>
        <w:t>More specifically the following sets of transcripts are included:</w:t>
      </w:r>
    </w:p>
    <w:p w14:paraId="4CADCDE5" w14:textId="3BD6F9D6" w:rsidR="00FC6D96" w:rsidRPr="007B2D33" w:rsidRDefault="00337141" w:rsidP="00D06B34">
      <w:pPr>
        <w:numPr>
          <w:ilvl w:val="0"/>
          <w:numId w:val="14"/>
        </w:numPr>
        <w:spacing w:before="100" w:beforeAutospacing="1" w:after="100" w:afterAutospacing="1"/>
        <w:rPr>
          <w:rFonts w:eastAsia="Times New Roman" w:cs="Arial"/>
          <w:szCs w:val="24"/>
        </w:rPr>
      </w:pPr>
      <w:r>
        <w:rPr>
          <w:rFonts w:eastAsia="Times New Roman" w:cs="Arial"/>
          <w:szCs w:val="24"/>
        </w:rPr>
        <w:t>Known</w:t>
      </w:r>
      <w:r w:rsidR="00FC6D96" w:rsidRPr="00FC6D96">
        <w:rPr>
          <w:rFonts w:eastAsia="Times New Roman" w:cs="Arial"/>
          <w:szCs w:val="24"/>
        </w:rPr>
        <w:t xml:space="preserve"> </w:t>
      </w:r>
      <w:hyperlink r:id="rId17" w:tgtFrame="_blank" w:history="1">
        <w:r w:rsidR="00FC6D96" w:rsidRPr="00FC6D96">
          <w:rPr>
            <w:rFonts w:eastAsia="Times New Roman" w:cs="Arial"/>
            <w:color w:val="0000FF"/>
            <w:szCs w:val="24"/>
            <w:u w:val="single"/>
          </w:rPr>
          <w:t>RefSeq</w:t>
        </w:r>
      </w:hyperlink>
      <w:r w:rsidR="00FC6D96" w:rsidRPr="00FC6D96">
        <w:rPr>
          <w:rFonts w:eastAsia="Times New Roman" w:cs="Arial"/>
          <w:szCs w:val="24"/>
        </w:rPr>
        <w:t xml:space="preserve"> transcripts</w:t>
      </w:r>
      <w:r w:rsidR="007B2D33">
        <w:rPr>
          <w:rFonts w:eastAsia="Times New Roman" w:cs="Arial"/>
          <w:szCs w:val="24"/>
        </w:rPr>
        <w:t>: c</w:t>
      </w:r>
      <w:r w:rsidR="00FC6D96" w:rsidRPr="007B2D33">
        <w:rPr>
          <w:rFonts w:eastAsia="Times New Roman" w:cs="Arial"/>
          <w:szCs w:val="24"/>
        </w:rPr>
        <w:t xml:space="preserve">oding and non-coding </w:t>
      </w:r>
      <w:hyperlink r:id="rId18" w:tgtFrame="_blank" w:history="1">
        <w:r w:rsidR="00FC6D96" w:rsidRPr="007B2D33">
          <w:rPr>
            <w:rFonts w:eastAsia="Times New Roman" w:cs="Arial"/>
            <w:color w:val="0000FF"/>
            <w:szCs w:val="24"/>
            <w:u w:val="single"/>
          </w:rPr>
          <w:t>RefSeq</w:t>
        </w:r>
      </w:hyperlink>
      <w:r w:rsidR="00FC6D96" w:rsidRPr="007B2D33">
        <w:rPr>
          <w:rFonts w:eastAsia="Times New Roman" w:cs="Arial"/>
          <w:szCs w:val="24"/>
        </w:rPr>
        <w:t xml:space="preserve"> transcripts</w:t>
      </w:r>
      <w:r w:rsidR="00B47775" w:rsidRPr="007B2D33">
        <w:rPr>
          <w:rFonts w:eastAsia="Times New Roman" w:cs="Arial"/>
          <w:szCs w:val="24"/>
        </w:rPr>
        <w:t>,</w:t>
      </w:r>
      <w:r w:rsidR="00FC6D96" w:rsidRPr="007B2D33">
        <w:rPr>
          <w:rFonts w:eastAsia="Times New Roman" w:cs="Arial"/>
          <w:szCs w:val="24"/>
        </w:rPr>
        <w:t xml:space="preserve"> with NM_ or NR_ prefixes</w:t>
      </w:r>
      <w:r w:rsidR="00B47775" w:rsidRPr="007B2D33">
        <w:rPr>
          <w:rFonts w:eastAsia="Times New Roman" w:cs="Arial"/>
          <w:szCs w:val="24"/>
        </w:rPr>
        <w:t xml:space="preserve"> </w:t>
      </w:r>
      <w:r w:rsidR="00FC6D96" w:rsidRPr="007B2D33">
        <w:rPr>
          <w:rFonts w:eastAsia="Times New Roman" w:cs="Arial"/>
          <w:szCs w:val="24"/>
        </w:rPr>
        <w:t>respectively</w:t>
      </w:r>
      <w:r w:rsidR="00726A47">
        <w:rPr>
          <w:rFonts w:eastAsia="Times New Roman" w:cs="Arial"/>
          <w:szCs w:val="24"/>
        </w:rPr>
        <w:t xml:space="preserve">. These </w:t>
      </w:r>
      <w:r w:rsidR="00FC6D96" w:rsidRPr="007B2D33">
        <w:rPr>
          <w:rFonts w:eastAsia="Times New Roman" w:cs="Arial"/>
          <w:szCs w:val="24"/>
        </w:rPr>
        <w:t xml:space="preserve">are generated by NCBI staff based on automatic </w:t>
      </w:r>
      <w:r w:rsidR="00FC6D96" w:rsidRPr="007B2D33">
        <w:rPr>
          <w:rFonts w:eastAsia="Times New Roman" w:cs="Arial"/>
          <w:szCs w:val="24"/>
        </w:rPr>
        <w:lastRenderedPageBreak/>
        <w:t>processes, manual curation, or data from collaborating groups (s</w:t>
      </w:r>
      <w:r w:rsidR="00726A47">
        <w:rPr>
          <w:rFonts w:eastAsia="Times New Roman" w:cs="Arial"/>
          <w:szCs w:val="24"/>
        </w:rPr>
        <w:t xml:space="preserve">ee more details in </w:t>
      </w:r>
      <w:r w:rsidR="00204E1C">
        <w:rPr>
          <w:rFonts w:eastAsia="Times New Roman" w:cs="Arial"/>
          <w:szCs w:val="24"/>
        </w:rPr>
        <w:t xml:space="preserve">the </w:t>
      </w:r>
      <w:r w:rsidR="00726A47" w:rsidRPr="00165D71">
        <w:rPr>
          <w:rFonts w:eastAsia="Times New Roman" w:cs="Arial"/>
          <w:szCs w:val="24"/>
        </w:rPr>
        <w:t>RefSeq chapter</w:t>
      </w:r>
      <w:r w:rsidR="00726A47">
        <w:rPr>
          <w:rFonts w:eastAsia="Times New Roman" w:cs="Arial"/>
          <w:szCs w:val="24"/>
        </w:rPr>
        <w:t xml:space="preserve"> </w:t>
      </w:r>
      <w:r w:rsidR="00B34F4F">
        <w:rPr>
          <w:rFonts w:eastAsia="Times New Roman" w:cs="Arial"/>
          <w:szCs w:val="24"/>
        </w:rPr>
        <w:t>and 2</w:t>
      </w:r>
      <w:r w:rsidR="00726A47">
        <w:rPr>
          <w:rFonts w:eastAsia="Times New Roman" w:cs="Arial"/>
          <w:szCs w:val="24"/>
        </w:rPr>
        <w:t>)</w:t>
      </w:r>
    </w:p>
    <w:p w14:paraId="42C0998A" w14:textId="7CCEBDAF" w:rsidR="00FC6D96" w:rsidRPr="00FC6D96" w:rsidRDefault="00FC6D96" w:rsidP="00D06B34">
      <w:pPr>
        <w:numPr>
          <w:ilvl w:val="0"/>
          <w:numId w:val="14"/>
        </w:numPr>
        <w:spacing w:before="100" w:beforeAutospacing="1" w:after="100" w:afterAutospacing="1"/>
        <w:rPr>
          <w:rFonts w:eastAsia="Times New Roman" w:cs="Arial"/>
          <w:szCs w:val="24"/>
        </w:rPr>
      </w:pPr>
      <w:r w:rsidRPr="00FC6D96">
        <w:rPr>
          <w:rFonts w:eastAsia="Times New Roman" w:cs="Arial"/>
          <w:szCs w:val="24"/>
        </w:rPr>
        <w:t xml:space="preserve">Other </w:t>
      </w:r>
      <w:r w:rsidR="00B47775">
        <w:rPr>
          <w:rFonts w:eastAsia="Times New Roman" w:cs="Arial"/>
          <w:szCs w:val="24"/>
        </w:rPr>
        <w:t xml:space="preserve">long </w:t>
      </w:r>
      <w:r w:rsidRPr="00FC6D96">
        <w:rPr>
          <w:rFonts w:eastAsia="Times New Roman" w:cs="Arial"/>
          <w:szCs w:val="24"/>
        </w:rPr>
        <w:t xml:space="preserve">transcripts </w:t>
      </w:r>
    </w:p>
    <w:p w14:paraId="71CF2AAE" w14:textId="77777777" w:rsidR="00FC6D96" w:rsidRPr="00FC6D96" w:rsidRDefault="00DE7EB2" w:rsidP="00D06B34">
      <w:pPr>
        <w:numPr>
          <w:ilvl w:val="1"/>
          <w:numId w:val="14"/>
        </w:numPr>
        <w:spacing w:before="100" w:beforeAutospacing="1" w:after="100" w:afterAutospacing="1"/>
        <w:rPr>
          <w:rFonts w:eastAsia="Times New Roman" w:cs="Arial"/>
          <w:szCs w:val="24"/>
        </w:rPr>
      </w:pPr>
      <w:hyperlink r:id="rId19" w:tgtFrame="_blank" w:history="1">
        <w:r w:rsidR="00FC6D96" w:rsidRPr="00FC6D96">
          <w:rPr>
            <w:rFonts w:eastAsia="Times New Roman" w:cs="Arial"/>
            <w:color w:val="0000FF"/>
            <w:szCs w:val="24"/>
            <w:u w:val="single"/>
          </w:rPr>
          <w:t>GenBank</w:t>
        </w:r>
      </w:hyperlink>
      <w:r w:rsidR="00FC6D96" w:rsidRPr="00FC6D96">
        <w:rPr>
          <w:rFonts w:eastAsia="Times New Roman" w:cs="Arial"/>
          <w:szCs w:val="24"/>
        </w:rPr>
        <w:t xml:space="preserve"> transcripts from the taxonomically relevant GenBank divisions, and the Third-Party Annotation (</w:t>
      </w:r>
      <w:hyperlink r:id="rId20" w:tgtFrame="_blank" w:history="1">
        <w:r w:rsidR="00FC6D96" w:rsidRPr="00FC6D96">
          <w:rPr>
            <w:rFonts w:eastAsia="Times New Roman" w:cs="Arial"/>
            <w:color w:val="0000FF"/>
            <w:szCs w:val="24"/>
            <w:u w:val="single"/>
          </w:rPr>
          <w:t>TPA</w:t>
        </w:r>
      </w:hyperlink>
      <w:r w:rsidR="00FC6D96" w:rsidRPr="00FC6D96">
        <w:rPr>
          <w:rFonts w:eastAsia="Times New Roman" w:cs="Arial"/>
          <w:szCs w:val="24"/>
        </w:rPr>
        <w:t>), High-throughput cDNA (HTC) and Transcriptome Shotgun Assembly (</w:t>
      </w:r>
      <w:hyperlink r:id="rId21" w:tgtFrame="_blank" w:history="1">
        <w:r w:rsidR="00FC6D96" w:rsidRPr="00FC6D96">
          <w:rPr>
            <w:rFonts w:eastAsia="Times New Roman" w:cs="Arial"/>
            <w:color w:val="0000FF"/>
            <w:szCs w:val="24"/>
            <w:u w:val="single"/>
          </w:rPr>
          <w:t>TSA</w:t>
        </w:r>
      </w:hyperlink>
      <w:r w:rsidR="00FC6D96" w:rsidRPr="00FC6D96">
        <w:rPr>
          <w:rFonts w:eastAsia="Times New Roman" w:cs="Arial"/>
          <w:szCs w:val="24"/>
        </w:rPr>
        <w:t>) divisions</w:t>
      </w:r>
    </w:p>
    <w:p w14:paraId="33A55677" w14:textId="77777777" w:rsidR="00FC6D96" w:rsidRPr="00FC6D96" w:rsidRDefault="00FC6D96" w:rsidP="00D06B34">
      <w:pPr>
        <w:numPr>
          <w:ilvl w:val="1"/>
          <w:numId w:val="14"/>
        </w:numPr>
        <w:spacing w:before="100" w:beforeAutospacing="1" w:after="100" w:afterAutospacing="1"/>
        <w:rPr>
          <w:rFonts w:eastAsia="Times New Roman" w:cs="Arial"/>
          <w:szCs w:val="24"/>
        </w:rPr>
      </w:pPr>
      <w:r w:rsidRPr="00FC6D96">
        <w:rPr>
          <w:rFonts w:eastAsia="Times New Roman" w:cs="Arial"/>
          <w:szCs w:val="24"/>
        </w:rPr>
        <w:t xml:space="preserve">ESTs from </w:t>
      </w:r>
      <w:hyperlink r:id="rId22" w:tgtFrame="_blank" w:history="1">
        <w:r w:rsidRPr="00FC6D96">
          <w:rPr>
            <w:rFonts w:eastAsia="Times New Roman" w:cs="Arial"/>
            <w:color w:val="0000FF"/>
            <w:szCs w:val="24"/>
            <w:u w:val="single"/>
          </w:rPr>
          <w:t>dbEST</w:t>
        </w:r>
      </w:hyperlink>
    </w:p>
    <w:p w14:paraId="68F2D371" w14:textId="348A8D27" w:rsidR="00FC6D96" w:rsidRDefault="00FC6D96" w:rsidP="00D06B34">
      <w:pPr>
        <w:numPr>
          <w:ilvl w:val="1"/>
          <w:numId w:val="14"/>
        </w:numPr>
        <w:spacing w:before="100" w:beforeAutospacing="1" w:after="100" w:afterAutospacing="1"/>
        <w:rPr>
          <w:rFonts w:eastAsia="Times New Roman" w:cs="Arial"/>
          <w:szCs w:val="24"/>
        </w:rPr>
      </w:pPr>
      <w:r w:rsidRPr="00FC6D96">
        <w:rPr>
          <w:rFonts w:eastAsia="Times New Roman" w:cs="Arial"/>
          <w:szCs w:val="24"/>
        </w:rPr>
        <w:t xml:space="preserve">Long </w:t>
      </w:r>
      <w:r w:rsidR="00544B51">
        <w:rPr>
          <w:rFonts w:eastAsia="Times New Roman" w:cs="Arial"/>
          <w:szCs w:val="24"/>
        </w:rPr>
        <w:t>RNA-Seq</w:t>
      </w:r>
      <w:r w:rsidRPr="00FC6D96">
        <w:rPr>
          <w:rFonts w:eastAsia="Times New Roman" w:cs="Arial"/>
          <w:szCs w:val="24"/>
        </w:rPr>
        <w:t xml:space="preserve"> sequences (</w:t>
      </w:r>
      <w:r w:rsidRPr="00C81FAB">
        <w:rPr>
          <w:rFonts w:eastAsia="Times New Roman" w:cs="Arial"/>
          <w:iCs/>
          <w:szCs w:val="24"/>
        </w:rPr>
        <w:t>e.g.</w:t>
      </w:r>
      <w:r w:rsidR="00204E1C">
        <w:rPr>
          <w:rFonts w:eastAsia="Times New Roman" w:cs="Arial"/>
          <w:iCs/>
          <w:szCs w:val="24"/>
        </w:rPr>
        <w:t>,</w:t>
      </w:r>
      <w:r w:rsidRPr="00FC6D96">
        <w:rPr>
          <w:rFonts w:eastAsia="Times New Roman" w:cs="Arial"/>
          <w:szCs w:val="24"/>
        </w:rPr>
        <w:t xml:space="preserve"> from the GS FLX TITANIUM 454 platform) from </w:t>
      </w:r>
      <w:r w:rsidR="007B2D33">
        <w:rPr>
          <w:rFonts w:eastAsia="Times New Roman" w:cs="Arial"/>
          <w:szCs w:val="24"/>
        </w:rPr>
        <w:t xml:space="preserve">the </w:t>
      </w:r>
      <w:r w:rsidR="00251135">
        <w:rPr>
          <w:rFonts w:eastAsia="Times New Roman" w:cs="Arial"/>
          <w:szCs w:val="24"/>
        </w:rPr>
        <w:t xml:space="preserve">Sequence </w:t>
      </w:r>
      <w:r w:rsidR="007B2D33">
        <w:rPr>
          <w:rFonts w:eastAsia="Times New Roman" w:cs="Arial"/>
          <w:szCs w:val="24"/>
        </w:rPr>
        <w:t xml:space="preserve">Read Archive </w:t>
      </w:r>
      <w:hyperlink r:id="rId23" w:tgtFrame="_blank" w:history="1">
        <w:r w:rsidRPr="00FC6D96">
          <w:rPr>
            <w:rFonts w:eastAsia="Times New Roman" w:cs="Arial"/>
            <w:color w:val="0000FF"/>
            <w:szCs w:val="24"/>
            <w:u w:val="single"/>
          </w:rPr>
          <w:t>SRA</w:t>
        </w:r>
      </w:hyperlink>
    </w:p>
    <w:p w14:paraId="7E8DADE8" w14:textId="71FE160E" w:rsidR="007B2D33" w:rsidRPr="007F252F" w:rsidRDefault="005452E1" w:rsidP="00D06B34">
      <w:pPr>
        <w:numPr>
          <w:ilvl w:val="0"/>
          <w:numId w:val="14"/>
        </w:numPr>
        <w:spacing w:before="100" w:beforeAutospacing="1" w:after="100" w:afterAutospacing="1"/>
        <w:rPr>
          <w:rFonts w:eastAsia="Times New Roman" w:cs="Arial"/>
          <w:szCs w:val="24"/>
        </w:rPr>
      </w:pPr>
      <w:r>
        <w:rPr>
          <w:rFonts w:eastAsia="Times New Roman" w:cs="Arial"/>
          <w:szCs w:val="24"/>
        </w:rPr>
        <w:t>S</w:t>
      </w:r>
      <w:r w:rsidR="00B47775" w:rsidRPr="005452E1">
        <w:rPr>
          <w:rFonts w:eastAsia="Times New Roman" w:cs="Arial"/>
          <w:szCs w:val="24"/>
        </w:rPr>
        <w:t>hort read RNA</w:t>
      </w:r>
      <w:r w:rsidR="007B2D33" w:rsidRPr="005452E1">
        <w:rPr>
          <w:rFonts w:eastAsia="Times New Roman" w:cs="Arial"/>
          <w:szCs w:val="24"/>
        </w:rPr>
        <w:t>-S</w:t>
      </w:r>
      <w:r w:rsidR="00B47775" w:rsidRPr="005452E1">
        <w:rPr>
          <w:rFonts w:eastAsia="Times New Roman" w:cs="Arial"/>
          <w:szCs w:val="24"/>
        </w:rPr>
        <w:t xml:space="preserve">eq </w:t>
      </w:r>
      <w:r w:rsidR="006C3156" w:rsidRPr="005452E1">
        <w:rPr>
          <w:rFonts w:eastAsia="Times New Roman" w:cs="Arial"/>
          <w:szCs w:val="24"/>
        </w:rPr>
        <w:t xml:space="preserve">data </w:t>
      </w:r>
      <w:r w:rsidR="00B47775" w:rsidRPr="005452E1">
        <w:rPr>
          <w:rFonts w:eastAsia="Times New Roman" w:cs="Arial"/>
          <w:szCs w:val="24"/>
        </w:rPr>
        <w:t>avail</w:t>
      </w:r>
      <w:r w:rsidR="0006490C" w:rsidRPr="005452E1">
        <w:rPr>
          <w:rFonts w:eastAsia="Times New Roman" w:cs="Arial"/>
          <w:szCs w:val="24"/>
        </w:rPr>
        <w:t xml:space="preserve">able in </w:t>
      </w:r>
      <w:hyperlink r:id="rId24" w:tgtFrame="_blank" w:history="1">
        <w:r w:rsidR="00337141" w:rsidRPr="00FC6D96">
          <w:rPr>
            <w:rFonts w:eastAsia="Times New Roman" w:cs="Arial"/>
            <w:color w:val="0000FF"/>
            <w:szCs w:val="24"/>
            <w:u w:val="single"/>
          </w:rPr>
          <w:t>SRA</w:t>
        </w:r>
      </w:hyperlink>
    </w:p>
    <w:p w14:paraId="383C59BA" w14:textId="4F0D0140" w:rsidR="007B2D33" w:rsidRPr="007B2D33" w:rsidRDefault="006C3156" w:rsidP="007B2D33">
      <w:pPr>
        <w:spacing w:before="100" w:beforeAutospacing="1" w:after="100" w:afterAutospacing="1"/>
        <w:rPr>
          <w:rFonts w:eastAsia="Times New Roman" w:cs="Arial"/>
          <w:szCs w:val="24"/>
        </w:rPr>
      </w:pPr>
      <w:r>
        <w:rPr>
          <w:rFonts w:eastAsia="Times New Roman" w:cs="Arial"/>
          <w:szCs w:val="24"/>
        </w:rPr>
        <w:t>And the following p</w:t>
      </w:r>
      <w:r w:rsidR="007B2D33">
        <w:rPr>
          <w:rFonts w:eastAsia="Times New Roman" w:cs="Arial"/>
          <w:szCs w:val="24"/>
        </w:rPr>
        <w:t>roteins:</w:t>
      </w:r>
    </w:p>
    <w:p w14:paraId="3CB46EF5" w14:textId="50F99331" w:rsidR="0006490C" w:rsidRPr="007B2D33" w:rsidRDefault="00337141" w:rsidP="00D06B34">
      <w:pPr>
        <w:pStyle w:val="ListParagraph"/>
        <w:numPr>
          <w:ilvl w:val="0"/>
          <w:numId w:val="15"/>
        </w:numPr>
        <w:spacing w:before="100" w:beforeAutospacing="1" w:after="100" w:afterAutospacing="1"/>
        <w:rPr>
          <w:rFonts w:ascii="Arial" w:hAnsi="Arial" w:cs="Arial"/>
        </w:rPr>
      </w:pPr>
      <w:r>
        <w:rPr>
          <w:rFonts w:ascii="Arial" w:hAnsi="Arial" w:cs="Arial"/>
        </w:rPr>
        <w:t>Known</w:t>
      </w:r>
      <w:r w:rsidR="006C3156">
        <w:rPr>
          <w:rFonts w:ascii="Arial" w:hAnsi="Arial" w:cs="Arial"/>
        </w:rPr>
        <w:t xml:space="preserve"> RefSeq proteins, with NP_ prefixes</w:t>
      </w:r>
    </w:p>
    <w:p w14:paraId="711179BA" w14:textId="14DDAB78" w:rsidR="0006490C" w:rsidRDefault="006F52D3" w:rsidP="00D06B34">
      <w:pPr>
        <w:pStyle w:val="ListParagraph"/>
        <w:numPr>
          <w:ilvl w:val="0"/>
          <w:numId w:val="15"/>
        </w:numPr>
        <w:spacing w:before="100" w:beforeAutospacing="1" w:after="100" w:afterAutospacing="1"/>
        <w:rPr>
          <w:rFonts w:ascii="Arial" w:hAnsi="Arial" w:cs="Arial"/>
        </w:rPr>
      </w:pPr>
      <w:r>
        <w:rPr>
          <w:rFonts w:ascii="Arial" w:hAnsi="Arial" w:cs="Arial"/>
        </w:rPr>
        <w:t>INSDC</w:t>
      </w:r>
      <w:r w:rsidR="0006490C" w:rsidRPr="007B2D33">
        <w:rPr>
          <w:rFonts w:ascii="Arial" w:hAnsi="Arial" w:cs="Arial"/>
        </w:rPr>
        <w:t xml:space="preserve"> proteins</w:t>
      </w:r>
      <w:r>
        <w:rPr>
          <w:rFonts w:ascii="Arial" w:hAnsi="Arial" w:cs="Arial"/>
        </w:rPr>
        <w:t xml:space="preserve"> derived from transcripts</w:t>
      </w:r>
      <w:r w:rsidR="007F252F">
        <w:rPr>
          <w:rFonts w:ascii="Arial" w:hAnsi="Arial" w:cs="Arial"/>
        </w:rPr>
        <w:t xml:space="preserve"> (as much as possible, conceptual tra</w:t>
      </w:r>
      <w:r w:rsidR="00D06B34">
        <w:rPr>
          <w:rFonts w:ascii="Arial" w:hAnsi="Arial" w:cs="Arial"/>
        </w:rPr>
        <w:t>n</w:t>
      </w:r>
      <w:r w:rsidR="007F252F">
        <w:rPr>
          <w:rFonts w:ascii="Arial" w:hAnsi="Arial" w:cs="Arial"/>
        </w:rPr>
        <w:t>slations are excluded)</w:t>
      </w:r>
    </w:p>
    <w:p w14:paraId="51447EDA" w14:textId="613E0D2B" w:rsidR="00CA54E0" w:rsidRPr="00C7541D" w:rsidRDefault="00AE763A" w:rsidP="005452E1">
      <w:pPr>
        <w:spacing w:before="100" w:beforeAutospacing="1" w:after="100" w:afterAutospacing="1"/>
        <w:rPr>
          <w:rFonts w:cs="Arial"/>
        </w:rPr>
      </w:pPr>
      <w:r>
        <w:rPr>
          <w:rFonts w:cs="Arial"/>
        </w:rPr>
        <w:t xml:space="preserve">In addition, if available for the annotated organism, curated RefSeq genomic sequences </w:t>
      </w:r>
      <w:r w:rsidR="00CA54E0">
        <w:rPr>
          <w:rFonts w:cs="Arial"/>
        </w:rPr>
        <w:t xml:space="preserve">are used. </w:t>
      </w:r>
      <w:r w:rsidR="00CA54E0">
        <w:t xml:space="preserve">These sequences have </w:t>
      </w:r>
      <w:r w:rsidR="00CA54E0" w:rsidRPr="00B85C80">
        <w:t>accessions with NG_ prefixes</w:t>
      </w:r>
      <w:r w:rsidR="00CA54E0">
        <w:t xml:space="preserve"> and represent </w:t>
      </w:r>
      <w:r w:rsidR="00CA54E0" w:rsidRPr="00B85C80">
        <w:t>non-transcribed pseudogenes, manually annotated gene cluster</w:t>
      </w:r>
      <w:r w:rsidR="00CA54E0">
        <w:t>s</w:t>
      </w:r>
      <w:r w:rsidR="00CA54E0" w:rsidRPr="00B85C80">
        <w:t xml:space="preserve"> that </w:t>
      </w:r>
      <w:r w:rsidR="00CA54E0">
        <w:t>are</w:t>
      </w:r>
      <w:r w:rsidR="00CA54E0" w:rsidRPr="00B85C80">
        <w:t xml:space="preserve"> difficult to annotate via automated methods, </w:t>
      </w:r>
      <w:r w:rsidR="00CA54E0">
        <w:t>or</w:t>
      </w:r>
      <w:r w:rsidR="00CA54E0" w:rsidRPr="00B85C80">
        <w:t xml:space="preserve"> human </w:t>
      </w:r>
      <w:hyperlink r:id="rId25" w:tgtFrame="_blank" w:history="1">
        <w:r w:rsidR="00CA54E0" w:rsidRPr="00B85C80">
          <w:rPr>
            <w:color w:val="0000FF"/>
            <w:u w:val="single"/>
          </w:rPr>
          <w:t>RefSeqGene</w:t>
        </w:r>
      </w:hyperlink>
      <w:r w:rsidR="00CA54E0" w:rsidRPr="00B85C80">
        <w:t xml:space="preserve"> records</w:t>
      </w:r>
      <w:r w:rsidR="00CA54E0">
        <w:t xml:space="preserve"> (2)</w:t>
      </w:r>
      <w:r w:rsidR="00CA54E0" w:rsidRPr="00B85C80">
        <w:t>.</w:t>
      </w:r>
    </w:p>
    <w:p w14:paraId="13918457" w14:textId="77777777" w:rsidR="00726A47" w:rsidRDefault="00F179AC" w:rsidP="009B0AC2">
      <w:pPr>
        <w:pStyle w:val="Heading3"/>
      </w:pPr>
      <w:r w:rsidRPr="00FC6D96">
        <w:t>Process flow</w:t>
      </w:r>
    </w:p>
    <w:p w14:paraId="3838959C" w14:textId="0173279F" w:rsidR="002B0B24" w:rsidRDefault="007F2DBD" w:rsidP="0008263C">
      <w:r>
        <w:t>Figure 4 provides an overview of the annotation pipeline. Transcripts from RefSeq, GenBank</w:t>
      </w:r>
      <w:r w:rsidR="00204E1C">
        <w:t>,</w:t>
      </w:r>
      <w:r>
        <w:t xml:space="preserve"> and the </w:t>
      </w:r>
      <w:r w:rsidR="00251135">
        <w:t xml:space="preserve">Sequence </w:t>
      </w:r>
      <w:r>
        <w:t>Read Archive, proteins</w:t>
      </w:r>
      <w:r w:rsidR="00204E1C">
        <w:t>,</w:t>
      </w:r>
      <w:r>
        <w:t xml:space="preserve"> and, if available, RefSeq curated genomic sequences are aligned to the masked genome. Gene models are predicted by Gnomon based on these alignments, and searched against the curated database UniProtKB/SwissProt. The final set of models is then chosen among the Gnomon predictions (model RefSeq) and the known and curated RefSeq. Names and type of loci and GeneIDs are assigned to model RefSeq and retrieved from the Gene database for known RefSeq. In the final steps, the annotation is formatted, submitted to the sequences databases</w:t>
      </w:r>
      <w:r w:rsidR="00204E1C">
        <w:t>,</w:t>
      </w:r>
      <w:r>
        <w:t xml:space="preserve"> and published.</w:t>
      </w:r>
    </w:p>
    <w:p w14:paraId="6C1186D0" w14:textId="77777777" w:rsidR="00086C2E" w:rsidRDefault="00086C2E" w:rsidP="00BD58A5">
      <w:pPr>
        <w:pStyle w:val="Heading4"/>
      </w:pPr>
    </w:p>
    <w:p w14:paraId="3DD102B2" w14:textId="778EB4F8" w:rsidR="00BD58A5" w:rsidRDefault="00BD58A5" w:rsidP="00BD58A5">
      <w:pPr>
        <w:pStyle w:val="Heading4"/>
      </w:pPr>
      <w:r>
        <w:t>Fetching of inputs</w:t>
      </w:r>
    </w:p>
    <w:p w14:paraId="10256583" w14:textId="7AEE2C5D" w:rsidR="00CA54E0" w:rsidRDefault="00095B9A" w:rsidP="00BD58A5">
      <w:pPr>
        <w:spacing w:after="100" w:afterAutospacing="1"/>
        <w:rPr>
          <w:rFonts w:cs="Arial"/>
        </w:rPr>
      </w:pPr>
      <w:r>
        <w:rPr>
          <w:rFonts w:cs="Arial"/>
        </w:rPr>
        <w:t xml:space="preserve">All evidence </w:t>
      </w:r>
      <w:r w:rsidR="00F5412B">
        <w:rPr>
          <w:rFonts w:cs="Arial"/>
        </w:rPr>
        <w:t xml:space="preserve">identifiers </w:t>
      </w:r>
      <w:r w:rsidR="00BD58A5">
        <w:rPr>
          <w:rFonts w:cs="Arial"/>
        </w:rPr>
        <w:t xml:space="preserve">are </w:t>
      </w:r>
      <w:r w:rsidR="00F5412B">
        <w:rPr>
          <w:rFonts w:cs="Arial"/>
        </w:rPr>
        <w:t>retriev</w:t>
      </w:r>
      <w:r w:rsidR="00BD58A5">
        <w:rPr>
          <w:rFonts w:cs="Arial"/>
        </w:rPr>
        <w:t>ed from Entrez at the very beginning of the annotation run</w:t>
      </w:r>
      <w:r w:rsidR="00243941">
        <w:rPr>
          <w:rFonts w:cs="Arial"/>
        </w:rPr>
        <w:t xml:space="preserve"> and the date of sequence retrieval is tracked and reported as the annotation run </w:t>
      </w:r>
      <w:r w:rsidR="00BD58A5">
        <w:rPr>
          <w:rFonts w:cs="Arial"/>
        </w:rPr>
        <w:t xml:space="preserve">“freeze” date. </w:t>
      </w:r>
      <w:r>
        <w:rPr>
          <w:rFonts w:cs="Arial"/>
        </w:rPr>
        <w:t>Any</w:t>
      </w:r>
      <w:r w:rsidR="00BD58A5">
        <w:rPr>
          <w:rFonts w:cs="Arial"/>
        </w:rPr>
        <w:t xml:space="preserve"> sequence added to </w:t>
      </w:r>
      <w:r w:rsidR="00243941">
        <w:rPr>
          <w:rFonts w:cs="Arial"/>
        </w:rPr>
        <w:t xml:space="preserve">archival </w:t>
      </w:r>
      <w:r w:rsidR="00BD58A5">
        <w:rPr>
          <w:rFonts w:cs="Arial"/>
        </w:rPr>
        <w:t>database</w:t>
      </w:r>
      <w:r w:rsidR="00243941">
        <w:rPr>
          <w:rFonts w:cs="Arial"/>
        </w:rPr>
        <w:t>s</w:t>
      </w:r>
      <w:r w:rsidR="00BD58A5">
        <w:rPr>
          <w:rFonts w:cs="Arial"/>
        </w:rPr>
        <w:t xml:space="preserve"> after that day will not be used</w:t>
      </w:r>
      <w:r w:rsidR="00CA54E0">
        <w:rPr>
          <w:rFonts w:cs="Arial"/>
        </w:rPr>
        <w:t>.</w:t>
      </w:r>
    </w:p>
    <w:p w14:paraId="3E9D9103" w14:textId="5A4F8D02" w:rsidR="00BD58A5" w:rsidRDefault="00BD58A5" w:rsidP="00BD58A5">
      <w:pPr>
        <w:spacing w:after="100" w:afterAutospacing="1"/>
        <w:rPr>
          <w:rFonts w:cs="Arial"/>
        </w:rPr>
      </w:pPr>
    </w:p>
    <w:p w14:paraId="24039B3A" w14:textId="11F22098" w:rsidR="00D647FA" w:rsidRDefault="00D647FA" w:rsidP="009B0AC2">
      <w:pPr>
        <w:pStyle w:val="Heading4"/>
      </w:pPr>
      <w:r>
        <w:t>Genome sequence masking</w:t>
      </w:r>
    </w:p>
    <w:p w14:paraId="35D75E74" w14:textId="44686C8D" w:rsidR="00D647FA" w:rsidRPr="00D647FA" w:rsidRDefault="00D647FA" w:rsidP="00D647FA">
      <w:r>
        <w:t>The assemblies are retrieved from the Assembly resource and ma</w:t>
      </w:r>
      <w:r w:rsidR="00866249">
        <w:t>sked usin</w:t>
      </w:r>
      <w:r>
        <w:t xml:space="preserve">g either WindowMasker </w:t>
      </w:r>
      <w:r w:rsidR="00B34F4F">
        <w:t>(</w:t>
      </w:r>
      <w:r w:rsidR="00631AF8">
        <w:t>14</w:t>
      </w:r>
      <w:r w:rsidR="00B34F4F">
        <w:t xml:space="preserve">) </w:t>
      </w:r>
      <w:r>
        <w:t>or RepeatMasker</w:t>
      </w:r>
      <w:r w:rsidR="00B34F4F">
        <w:t xml:space="preserve"> (</w:t>
      </w:r>
      <w:r w:rsidR="00631AF8">
        <w:t>15</w:t>
      </w:r>
      <w:r w:rsidR="00B34F4F">
        <w:t>)</w:t>
      </w:r>
      <w:r>
        <w:t xml:space="preserve">. </w:t>
      </w:r>
      <w:r w:rsidR="00866249">
        <w:t>Repea</w:t>
      </w:r>
      <w:r w:rsidR="0082634C">
        <w:t xml:space="preserve">tMasker is generally used for </w:t>
      </w:r>
      <w:r w:rsidR="00866249">
        <w:t xml:space="preserve">organisms </w:t>
      </w:r>
      <w:r w:rsidR="0082634C">
        <w:t>for which a comprehensive repeat library is available.</w:t>
      </w:r>
    </w:p>
    <w:p w14:paraId="1E8CA70A" w14:textId="77777777" w:rsidR="007F252F" w:rsidRDefault="007F252F" w:rsidP="009B0AC2">
      <w:pPr>
        <w:pStyle w:val="Heading4"/>
      </w:pPr>
    </w:p>
    <w:p w14:paraId="65F9FE97" w14:textId="0EFC15C6" w:rsidR="00B85C80" w:rsidRDefault="00B85C80" w:rsidP="009B0AC2">
      <w:pPr>
        <w:pStyle w:val="Heading4"/>
      </w:pPr>
      <w:r>
        <w:t xml:space="preserve">Alignment of curated </w:t>
      </w:r>
      <w:r w:rsidR="002A4867">
        <w:t xml:space="preserve">RefSeq </w:t>
      </w:r>
      <w:r>
        <w:t>genomic sequences</w:t>
      </w:r>
    </w:p>
    <w:p w14:paraId="38713466" w14:textId="787F2FE8" w:rsidR="00B85C80" w:rsidRDefault="006F52D3" w:rsidP="00B85C80">
      <w:r>
        <w:t>If availabl</w:t>
      </w:r>
      <w:r w:rsidR="00996CD2">
        <w:t>e</w:t>
      </w:r>
      <w:r w:rsidR="005648F7">
        <w:t xml:space="preserve"> </w:t>
      </w:r>
      <w:r>
        <w:t xml:space="preserve">for the organism of interest, </w:t>
      </w:r>
      <w:r w:rsidR="00CA54E0">
        <w:t xml:space="preserve">curated RefSeq genomic </w:t>
      </w:r>
      <w:r w:rsidR="002A4867">
        <w:t>sequences</w:t>
      </w:r>
      <w:r w:rsidR="00B85C80" w:rsidRPr="00B85C80">
        <w:t xml:space="preserve"> are aligned to the</w:t>
      </w:r>
      <w:r>
        <w:t xml:space="preserve"> masked</w:t>
      </w:r>
      <w:r w:rsidR="00B85C80" w:rsidRPr="00B85C80">
        <w:t xml:space="preserve"> genome</w:t>
      </w:r>
      <w:r w:rsidR="00B64251">
        <w:t xml:space="preserve"> using </w:t>
      </w:r>
      <w:r w:rsidR="002A4867">
        <w:t>B</w:t>
      </w:r>
      <w:r w:rsidR="00B64251">
        <w:t>LAST</w:t>
      </w:r>
      <w:r w:rsidR="00D06B34">
        <w:t>. The alignments are ranked and filtered</w:t>
      </w:r>
      <w:r w:rsidR="002A4867">
        <w:t xml:space="preserve"> based on identity, coverage</w:t>
      </w:r>
      <w:r w:rsidR="005E7D22">
        <w:t>,</w:t>
      </w:r>
      <w:r w:rsidR="002A4867">
        <w:t xml:space="preserve"> and </w:t>
      </w:r>
      <w:r w:rsidR="00D06B34">
        <w:t>placement information kept in a RefSeq tracking</w:t>
      </w:r>
      <w:r w:rsidR="002A4867">
        <w:t xml:space="preserve"> in-house database. </w:t>
      </w:r>
      <w:r w:rsidR="006C3156">
        <w:t>The features annotated on the</w:t>
      </w:r>
      <w:r w:rsidR="00D06B34">
        <w:t xml:space="preserve"> alignments passing the filter </w:t>
      </w:r>
      <w:r>
        <w:t>are</w:t>
      </w:r>
      <w:r w:rsidR="006C3156">
        <w:t xml:space="preserve"> then</w:t>
      </w:r>
      <w:r>
        <w:t xml:space="preserve"> projected onto the genomic sequences</w:t>
      </w:r>
      <w:r w:rsidR="006C3156">
        <w:t xml:space="preserve"> and evaluated </w:t>
      </w:r>
      <w:r w:rsidR="00F5412B">
        <w:t>with</w:t>
      </w:r>
      <w:r w:rsidR="006C3156">
        <w:t xml:space="preserve"> the other aligning evidence when </w:t>
      </w:r>
      <w:hyperlink w:anchor="_Choosing_the_best" w:history="1">
        <w:r w:rsidR="006C3156" w:rsidRPr="005E7D22">
          <w:rPr>
            <w:rStyle w:val="Hyperlink"/>
          </w:rPr>
          <w:t>choosing the best model</w:t>
        </w:r>
      </w:hyperlink>
      <w:r w:rsidR="005E7D22">
        <w:t>.</w:t>
      </w:r>
    </w:p>
    <w:p w14:paraId="42A8D560" w14:textId="4036E6E7" w:rsidR="00B85C80" w:rsidRPr="00B85C80" w:rsidRDefault="00B85C80" w:rsidP="00B85C80"/>
    <w:p w14:paraId="17247F4E" w14:textId="2F036F12" w:rsidR="00F179AC" w:rsidRDefault="00F179AC" w:rsidP="009B0AC2">
      <w:pPr>
        <w:pStyle w:val="Heading4"/>
      </w:pPr>
      <w:r w:rsidRPr="00FC6D96">
        <w:t>Alignment</w:t>
      </w:r>
      <w:r w:rsidR="000B4AAD">
        <w:t xml:space="preserve"> of </w:t>
      </w:r>
      <w:r w:rsidR="002A4867">
        <w:t xml:space="preserve">protein and transcript </w:t>
      </w:r>
      <w:r w:rsidR="000B4AAD">
        <w:t>evidence</w:t>
      </w:r>
    </w:p>
    <w:p w14:paraId="015EA8DA" w14:textId="0557A757" w:rsidR="00922426" w:rsidRDefault="0062680B" w:rsidP="00CE1263">
      <w:pPr>
        <w:pStyle w:val="ListParagraph"/>
        <w:spacing w:after="100" w:afterAutospacing="1"/>
        <w:ind w:left="0"/>
        <w:rPr>
          <w:rFonts w:ascii="Arial" w:hAnsi="Arial" w:cs="Arial"/>
        </w:rPr>
      </w:pPr>
      <w:r>
        <w:rPr>
          <w:rFonts w:ascii="Arial" w:hAnsi="Arial" w:cs="Arial"/>
        </w:rPr>
        <w:t xml:space="preserve">After retrieval, sequences are aligned to the </w:t>
      </w:r>
      <w:r w:rsidR="000B4AAD">
        <w:rPr>
          <w:rFonts w:ascii="Arial" w:hAnsi="Arial" w:cs="Arial"/>
        </w:rPr>
        <w:t>masked</w:t>
      </w:r>
      <w:r>
        <w:rPr>
          <w:rFonts w:ascii="Arial" w:hAnsi="Arial" w:cs="Arial"/>
        </w:rPr>
        <w:t xml:space="preserve"> </w:t>
      </w:r>
      <w:r w:rsidR="000B4AAD">
        <w:rPr>
          <w:rFonts w:ascii="Arial" w:hAnsi="Arial" w:cs="Arial"/>
        </w:rPr>
        <w:t>genome</w:t>
      </w:r>
      <w:r w:rsidR="006F52D3">
        <w:rPr>
          <w:rFonts w:ascii="Arial" w:hAnsi="Arial" w:cs="Arial"/>
        </w:rPr>
        <w:t xml:space="preserve"> following this general strategy:</w:t>
      </w:r>
      <w:r w:rsidR="00CE1263">
        <w:rPr>
          <w:rFonts w:ascii="Arial" w:hAnsi="Arial" w:cs="Arial"/>
        </w:rPr>
        <w:t xml:space="preserve"> </w:t>
      </w:r>
      <w:r w:rsidR="006F52D3" w:rsidRPr="006F52D3">
        <w:rPr>
          <w:rFonts w:ascii="Arial" w:hAnsi="Arial" w:cs="Arial"/>
        </w:rPr>
        <w:t>sequences are aligned locally to the genome using</w:t>
      </w:r>
      <w:r w:rsidR="006F52D3">
        <w:rPr>
          <w:rFonts w:ascii="Arial" w:hAnsi="Arial" w:cs="Arial"/>
        </w:rPr>
        <w:t xml:space="preserve"> BLAST. Based on the BLAST hits, Compart identifies genomic compartments to which query sequences are re-aligned globally. This second round of alignments is necessary for accurate determination of splice sites and for the identification of small terminal exons that may be missed by BLAST. The global alignments are performed by Splign for transcripts and ProSplign for proteins</w:t>
      </w:r>
      <w:r w:rsidR="004150E6">
        <w:rPr>
          <w:rFonts w:ascii="Arial" w:hAnsi="Arial" w:cs="Arial"/>
        </w:rPr>
        <w:t xml:space="preserve">. </w:t>
      </w:r>
      <w:r w:rsidR="006F52D3">
        <w:rPr>
          <w:rFonts w:ascii="Arial" w:hAnsi="Arial" w:cs="Arial"/>
        </w:rPr>
        <w:t xml:space="preserve">Resulting alignments are then ranked </w:t>
      </w:r>
      <w:r w:rsidR="00B64251">
        <w:rPr>
          <w:rFonts w:ascii="Arial" w:hAnsi="Arial" w:cs="Arial"/>
        </w:rPr>
        <w:t xml:space="preserve">based on coverage and identity </w:t>
      </w:r>
      <w:r w:rsidR="006F52D3">
        <w:rPr>
          <w:rFonts w:ascii="Arial" w:hAnsi="Arial" w:cs="Arial"/>
        </w:rPr>
        <w:t xml:space="preserve">and filtered before hand-off to downstream tasks. </w:t>
      </w:r>
      <w:r w:rsidR="004150E6">
        <w:rPr>
          <w:rFonts w:ascii="Arial" w:hAnsi="Arial" w:cs="Arial"/>
        </w:rPr>
        <w:t>Adjustment</w:t>
      </w:r>
      <w:r w:rsidR="00856EBC">
        <w:rPr>
          <w:rFonts w:ascii="Arial" w:hAnsi="Arial" w:cs="Arial"/>
        </w:rPr>
        <w:t>s</w:t>
      </w:r>
      <w:r w:rsidR="004150E6">
        <w:rPr>
          <w:rFonts w:ascii="Arial" w:hAnsi="Arial" w:cs="Arial"/>
        </w:rPr>
        <w:t xml:space="preserve"> </w:t>
      </w:r>
      <w:r w:rsidR="00856EBC">
        <w:rPr>
          <w:rFonts w:ascii="Arial" w:hAnsi="Arial" w:cs="Arial"/>
        </w:rPr>
        <w:t>to the</w:t>
      </w:r>
      <w:r w:rsidR="00401152">
        <w:rPr>
          <w:rFonts w:ascii="Arial" w:hAnsi="Arial" w:cs="Arial"/>
        </w:rPr>
        <w:t xml:space="preserve"> alignments and filtering </w:t>
      </w:r>
      <w:r w:rsidR="004150E6">
        <w:rPr>
          <w:rFonts w:ascii="Arial" w:hAnsi="Arial" w:cs="Arial"/>
        </w:rPr>
        <w:t>parameters</w:t>
      </w:r>
      <w:r w:rsidR="00401152">
        <w:rPr>
          <w:rFonts w:ascii="Arial" w:hAnsi="Arial" w:cs="Arial"/>
        </w:rPr>
        <w:t>,</w:t>
      </w:r>
      <w:r w:rsidR="004150E6">
        <w:rPr>
          <w:rFonts w:ascii="Arial" w:hAnsi="Arial" w:cs="Arial"/>
        </w:rPr>
        <w:t xml:space="preserve"> and </w:t>
      </w:r>
      <w:r w:rsidR="006F52D3">
        <w:rPr>
          <w:rFonts w:ascii="Arial" w:hAnsi="Arial" w:cs="Arial"/>
        </w:rPr>
        <w:t xml:space="preserve">variation to this general </w:t>
      </w:r>
      <w:r w:rsidR="004150E6">
        <w:rPr>
          <w:rFonts w:ascii="Arial" w:hAnsi="Arial" w:cs="Arial"/>
        </w:rPr>
        <w:t xml:space="preserve">dataflow are made </w:t>
      </w:r>
      <w:r w:rsidR="006C3156">
        <w:rPr>
          <w:rFonts w:ascii="Arial" w:hAnsi="Arial" w:cs="Arial"/>
        </w:rPr>
        <w:t>based on the source and characteristics of the evidence</w:t>
      </w:r>
      <w:r w:rsidR="00856EBC">
        <w:rPr>
          <w:rFonts w:ascii="Arial" w:hAnsi="Arial" w:cs="Arial"/>
        </w:rPr>
        <w:t xml:space="preserve"> </w:t>
      </w:r>
      <w:r w:rsidR="00B64251">
        <w:rPr>
          <w:rFonts w:ascii="Arial" w:hAnsi="Arial" w:cs="Arial"/>
        </w:rPr>
        <w:t xml:space="preserve">and </w:t>
      </w:r>
      <w:r w:rsidR="00856EBC">
        <w:rPr>
          <w:rFonts w:ascii="Arial" w:hAnsi="Arial" w:cs="Arial"/>
        </w:rPr>
        <w:t>are</w:t>
      </w:r>
      <w:r w:rsidR="00B64251">
        <w:rPr>
          <w:rFonts w:ascii="Arial" w:hAnsi="Arial" w:cs="Arial"/>
        </w:rPr>
        <w:t xml:space="preserve"> described below</w:t>
      </w:r>
      <w:r w:rsidR="006C3156">
        <w:rPr>
          <w:rFonts w:ascii="Arial" w:hAnsi="Arial" w:cs="Arial"/>
        </w:rPr>
        <w:t>.</w:t>
      </w:r>
    </w:p>
    <w:p w14:paraId="228A2508" w14:textId="0EBB6D41" w:rsidR="002A4867" w:rsidRDefault="002A4867" w:rsidP="002A4867">
      <w:pPr>
        <w:pStyle w:val="Heading5"/>
      </w:pPr>
      <w:r>
        <w:t xml:space="preserve">Alignment of </w:t>
      </w:r>
      <w:r w:rsidR="00015ED3">
        <w:t xml:space="preserve">known </w:t>
      </w:r>
      <w:r>
        <w:t>RefSeq transcripts</w:t>
      </w:r>
    </w:p>
    <w:p w14:paraId="19EB8DB1" w14:textId="260004F9" w:rsidR="006F52D3" w:rsidRDefault="00D06B34" w:rsidP="00091BD6">
      <w:pPr>
        <w:pStyle w:val="ListParagraph"/>
        <w:spacing w:after="100" w:afterAutospacing="1"/>
        <w:ind w:left="0"/>
        <w:rPr>
          <w:rFonts w:ascii="Arial" w:hAnsi="Arial" w:cs="Arial"/>
        </w:rPr>
      </w:pPr>
      <w:r>
        <w:rPr>
          <w:rFonts w:ascii="Arial" w:hAnsi="Arial" w:cs="Arial"/>
        </w:rPr>
        <w:t>Since m</w:t>
      </w:r>
      <w:r w:rsidR="00243941">
        <w:rPr>
          <w:rFonts w:ascii="Arial" w:hAnsi="Arial" w:cs="Arial"/>
        </w:rPr>
        <w:t xml:space="preserve">any of the </w:t>
      </w:r>
      <w:r w:rsidR="00CA54E0">
        <w:rPr>
          <w:rFonts w:ascii="Arial" w:hAnsi="Arial" w:cs="Arial"/>
        </w:rPr>
        <w:t xml:space="preserve">known </w:t>
      </w:r>
      <w:r w:rsidR="006F52D3">
        <w:rPr>
          <w:rFonts w:ascii="Arial" w:hAnsi="Arial" w:cs="Arial"/>
        </w:rPr>
        <w:t>RefSeq sequences are curated</w:t>
      </w:r>
      <w:r w:rsidR="00243941">
        <w:rPr>
          <w:rFonts w:ascii="Arial" w:hAnsi="Arial" w:cs="Arial"/>
        </w:rPr>
        <w:t xml:space="preserve"> (most notably for </w:t>
      </w:r>
      <w:r w:rsidR="00015ED3">
        <w:rPr>
          <w:rFonts w:ascii="Arial" w:hAnsi="Arial" w:cs="Arial"/>
        </w:rPr>
        <w:t>V</w:t>
      </w:r>
      <w:r w:rsidR="00243941">
        <w:rPr>
          <w:rFonts w:ascii="Arial" w:hAnsi="Arial" w:cs="Arial"/>
        </w:rPr>
        <w:t>ertebrates)</w:t>
      </w:r>
      <w:r w:rsidR="00DA56E5">
        <w:rPr>
          <w:rFonts w:ascii="Arial" w:hAnsi="Arial" w:cs="Arial"/>
        </w:rPr>
        <w:t xml:space="preserve"> </w:t>
      </w:r>
      <w:r w:rsidR="00B64251">
        <w:rPr>
          <w:rFonts w:ascii="Arial" w:hAnsi="Arial" w:cs="Arial"/>
        </w:rPr>
        <w:t xml:space="preserve">and, as such, are </w:t>
      </w:r>
      <w:r w:rsidR="00015ED3">
        <w:rPr>
          <w:rFonts w:ascii="Arial" w:hAnsi="Arial" w:cs="Arial"/>
        </w:rPr>
        <w:t>high-</w:t>
      </w:r>
      <w:r w:rsidR="00B64251">
        <w:rPr>
          <w:rFonts w:ascii="Arial" w:hAnsi="Arial" w:cs="Arial"/>
        </w:rPr>
        <w:t>value</w:t>
      </w:r>
      <w:r w:rsidR="00015ED3">
        <w:rPr>
          <w:rFonts w:ascii="Arial" w:hAnsi="Arial" w:cs="Arial"/>
        </w:rPr>
        <w:t xml:space="preserve"> </w:t>
      </w:r>
      <w:r w:rsidR="00B64251">
        <w:rPr>
          <w:rFonts w:ascii="Arial" w:hAnsi="Arial" w:cs="Arial"/>
        </w:rPr>
        <w:t>targets when annotating a genom</w:t>
      </w:r>
      <w:r>
        <w:rPr>
          <w:rFonts w:ascii="Arial" w:hAnsi="Arial" w:cs="Arial"/>
        </w:rPr>
        <w:t>e</w:t>
      </w:r>
      <w:r w:rsidR="0083387B">
        <w:rPr>
          <w:rFonts w:ascii="Arial" w:hAnsi="Arial" w:cs="Arial"/>
        </w:rPr>
        <w:t>,</w:t>
      </w:r>
      <w:r>
        <w:rPr>
          <w:rFonts w:ascii="Arial" w:hAnsi="Arial" w:cs="Arial"/>
        </w:rPr>
        <w:t xml:space="preserve"> </w:t>
      </w:r>
      <w:r w:rsidR="00B64251">
        <w:rPr>
          <w:rFonts w:ascii="Arial" w:hAnsi="Arial" w:cs="Arial"/>
        </w:rPr>
        <w:t>special attention is given t</w:t>
      </w:r>
      <w:r>
        <w:rPr>
          <w:rFonts w:ascii="Arial" w:hAnsi="Arial" w:cs="Arial"/>
        </w:rPr>
        <w:t>o their proper placement. M</w:t>
      </w:r>
      <w:r w:rsidR="006F52D3">
        <w:rPr>
          <w:rFonts w:ascii="Arial" w:hAnsi="Arial" w:cs="Arial"/>
        </w:rPr>
        <w:t xml:space="preserve">asking may interfere with the alignment process, </w:t>
      </w:r>
      <w:r>
        <w:rPr>
          <w:rFonts w:ascii="Arial" w:hAnsi="Arial" w:cs="Arial"/>
        </w:rPr>
        <w:t xml:space="preserve">so </w:t>
      </w:r>
      <w:r w:rsidR="00B64251">
        <w:rPr>
          <w:rFonts w:ascii="Arial" w:hAnsi="Arial" w:cs="Arial"/>
        </w:rPr>
        <w:t xml:space="preserve">RefSeq </w:t>
      </w:r>
      <w:r w:rsidR="006F52D3">
        <w:rPr>
          <w:rFonts w:ascii="Arial" w:hAnsi="Arial" w:cs="Arial"/>
        </w:rPr>
        <w:t xml:space="preserve">transcripts for which all alignments </w:t>
      </w:r>
      <w:r w:rsidR="00B64251">
        <w:rPr>
          <w:rFonts w:ascii="Arial" w:hAnsi="Arial" w:cs="Arial"/>
        </w:rPr>
        <w:t xml:space="preserve">on the masked genome </w:t>
      </w:r>
      <w:r w:rsidR="006F52D3">
        <w:rPr>
          <w:rFonts w:ascii="Arial" w:hAnsi="Arial" w:cs="Arial"/>
        </w:rPr>
        <w:t xml:space="preserve">are under a coverage threshold may be re-aligned to the unmasked genome. </w:t>
      </w:r>
    </w:p>
    <w:p w14:paraId="127461BC" w14:textId="6A405711" w:rsidR="00091BD6" w:rsidRDefault="00D647FA" w:rsidP="00091BD6">
      <w:pPr>
        <w:pStyle w:val="ListParagraph"/>
        <w:spacing w:after="100" w:afterAutospacing="1"/>
        <w:ind w:left="0"/>
        <w:rPr>
          <w:rFonts w:ascii="Arial" w:hAnsi="Arial" w:cs="Arial"/>
        </w:rPr>
      </w:pPr>
      <w:r>
        <w:rPr>
          <w:rFonts w:ascii="Arial" w:hAnsi="Arial" w:cs="Arial"/>
        </w:rPr>
        <w:t>The</w:t>
      </w:r>
      <w:r w:rsidR="00091BD6" w:rsidRPr="00091BD6">
        <w:rPr>
          <w:rFonts w:ascii="Arial" w:hAnsi="Arial" w:cs="Arial"/>
        </w:rPr>
        <w:t xml:space="preserve"> </w:t>
      </w:r>
      <w:r w:rsidR="00710C57">
        <w:rPr>
          <w:rFonts w:ascii="Arial" w:hAnsi="Arial" w:cs="Arial"/>
        </w:rPr>
        <w:t>alignments are</w:t>
      </w:r>
      <w:r w:rsidR="00091BD6" w:rsidRPr="00091BD6">
        <w:rPr>
          <w:rFonts w:ascii="Arial" w:hAnsi="Arial" w:cs="Arial"/>
        </w:rPr>
        <w:t xml:space="preserve"> ranked and filtered based on </w:t>
      </w:r>
      <w:r w:rsidR="00D37D73">
        <w:rPr>
          <w:rFonts w:ascii="Arial" w:hAnsi="Arial" w:cs="Arial"/>
        </w:rPr>
        <w:t>adjustable</w:t>
      </w:r>
      <w:r w:rsidR="00091BD6" w:rsidRPr="00091BD6">
        <w:rPr>
          <w:rFonts w:ascii="Arial" w:hAnsi="Arial" w:cs="Arial"/>
        </w:rPr>
        <w:t xml:space="preserve"> criteria (such as coverage, identity, rank)</w:t>
      </w:r>
      <w:r w:rsidR="006F52D3">
        <w:rPr>
          <w:rFonts w:ascii="Arial" w:hAnsi="Arial" w:cs="Arial"/>
        </w:rPr>
        <w:t xml:space="preserve"> as well as location information contained in </w:t>
      </w:r>
      <w:r w:rsidR="00D06B34">
        <w:rPr>
          <w:rFonts w:ascii="Arial" w:hAnsi="Arial" w:cs="Arial"/>
        </w:rPr>
        <w:t>the RefSeq tracking</w:t>
      </w:r>
      <w:r w:rsidR="006F52D3">
        <w:rPr>
          <w:rFonts w:ascii="Arial" w:hAnsi="Arial" w:cs="Arial"/>
        </w:rPr>
        <w:t xml:space="preserve"> database</w:t>
      </w:r>
      <w:r w:rsidR="00091BD6" w:rsidRPr="00091BD6">
        <w:rPr>
          <w:rFonts w:ascii="Arial" w:hAnsi="Arial" w:cs="Arial"/>
        </w:rPr>
        <w:t>. Typically, only the best-placed alignment for a given query is selected for use in downstream steps.</w:t>
      </w:r>
      <w:r w:rsidR="006F52D3" w:rsidRPr="006F52D3">
        <w:rPr>
          <w:rFonts w:ascii="Arial" w:hAnsi="Arial" w:cs="Arial"/>
        </w:rPr>
        <w:t xml:space="preserve"> </w:t>
      </w:r>
    </w:p>
    <w:p w14:paraId="23FF14D6" w14:textId="66C50BF1" w:rsidR="002A4867" w:rsidRDefault="002A4867" w:rsidP="002A4867">
      <w:pPr>
        <w:pStyle w:val="Heading5"/>
      </w:pPr>
      <w:r>
        <w:t>Alignment of non-Refseq transcripts</w:t>
      </w:r>
    </w:p>
    <w:p w14:paraId="5FB4B5E7" w14:textId="53FDED8E" w:rsidR="002A4867" w:rsidRDefault="002A4867" w:rsidP="002A4867">
      <w:r>
        <w:t>INSDC mRNAs</w:t>
      </w:r>
      <w:r w:rsidR="00854ECF">
        <w:t>,</w:t>
      </w:r>
      <w:r>
        <w:t xml:space="preserve"> ESTs and 454 sequences are first screened against a database of mitochondrial sequences</w:t>
      </w:r>
      <w:r w:rsidR="00B64251">
        <w:t>,</w:t>
      </w:r>
      <w:r>
        <w:t xml:space="preserve"> cloning vectors</w:t>
      </w:r>
      <w:r w:rsidR="00657E1C">
        <w:t>, adaptors,</w:t>
      </w:r>
      <w:r>
        <w:t xml:space="preserve"> </w:t>
      </w:r>
      <w:r w:rsidR="00657E1C">
        <w:t xml:space="preserve">bacterial </w:t>
      </w:r>
      <w:r>
        <w:t>IS-elements</w:t>
      </w:r>
      <w:r w:rsidR="00657E1C">
        <w:t xml:space="preserve"> and</w:t>
      </w:r>
      <w:r>
        <w:t xml:space="preserve"> </w:t>
      </w:r>
      <w:r w:rsidR="00657E1C">
        <w:t xml:space="preserve">repetitive sequences, </w:t>
      </w:r>
      <w:r>
        <w:t>and excluded from further processing if a large portion of their sequence hits a contaminant. In addition,</w:t>
      </w:r>
      <w:r w:rsidR="00657E1C">
        <w:t xml:space="preserve"> </w:t>
      </w:r>
      <w:r>
        <w:t>transcripts identified as low</w:t>
      </w:r>
      <w:r w:rsidR="00D06B34">
        <w:t>-</w:t>
      </w:r>
      <w:r>
        <w:t xml:space="preserve">quality by curation </w:t>
      </w:r>
      <w:r w:rsidRPr="00091BD6">
        <w:t>staff are screened out.</w:t>
      </w:r>
      <w:r>
        <w:t xml:space="preserve"> </w:t>
      </w:r>
    </w:p>
    <w:p w14:paraId="7DA88E55" w14:textId="0A3A8D79" w:rsidR="006F52D3" w:rsidRDefault="006F52D3" w:rsidP="002A4867">
      <w:r>
        <w:t xml:space="preserve">Following this initial screen, the sequences are aligned with </w:t>
      </w:r>
      <w:r w:rsidR="00B64251">
        <w:t>BLAST</w:t>
      </w:r>
      <w:r>
        <w:t xml:space="preserve"> and Splign</w:t>
      </w:r>
      <w:r w:rsidR="00401152">
        <w:t>,</w:t>
      </w:r>
      <w:r>
        <w:t xml:space="preserve"> </w:t>
      </w:r>
      <w:r w:rsidR="00B64251">
        <w:t>as explained above</w:t>
      </w:r>
      <w:r w:rsidR="00401152">
        <w:t>,</w:t>
      </w:r>
      <w:r w:rsidR="00B64251">
        <w:t xml:space="preserve"> </w:t>
      </w:r>
      <w:r>
        <w:t>and ranked and filter</w:t>
      </w:r>
      <w:r w:rsidR="00B64251">
        <w:t xml:space="preserve">ed. </w:t>
      </w:r>
      <w:r w:rsidR="00856EBC">
        <w:t>For a given transcript</w:t>
      </w:r>
      <w:r w:rsidR="00B64251">
        <w:t>, typically only t</w:t>
      </w:r>
      <w:r w:rsidR="00856EBC">
        <w:t xml:space="preserve">he best-placed </w:t>
      </w:r>
      <w:r w:rsidR="00B64251">
        <w:t xml:space="preserve">alignment </w:t>
      </w:r>
      <w:r w:rsidR="00401152">
        <w:t xml:space="preserve">(rank 1) </w:t>
      </w:r>
      <w:r w:rsidR="00B64251">
        <w:t>is selected. For sequences that</w:t>
      </w:r>
      <w:r w:rsidR="00F5412B">
        <w:t xml:space="preserve"> </w:t>
      </w:r>
      <w:r w:rsidR="00B64251">
        <w:t>cannot be oriented (e.g.</w:t>
      </w:r>
      <w:r w:rsidR="005E7D22">
        <w:t>,</w:t>
      </w:r>
      <w:r w:rsidR="00B64251">
        <w:t xml:space="preserve"> unspliced EST</w:t>
      </w:r>
      <w:r w:rsidR="00274470">
        <w:t>s</w:t>
      </w:r>
      <w:r w:rsidR="00B64251">
        <w:t xml:space="preserve">), alignments to both strands are passed dowstream. If used, cross-species transcripts are aligned with more stringent criteria than same-species </w:t>
      </w:r>
      <w:r w:rsidR="00015ED3">
        <w:t xml:space="preserve">transcripts </w:t>
      </w:r>
      <w:r w:rsidR="00B64251">
        <w:t>to insure that only the most</w:t>
      </w:r>
      <w:r w:rsidR="00856EBC">
        <w:t>-</w:t>
      </w:r>
      <w:r w:rsidR="00B64251">
        <w:t xml:space="preserve">likely ortholog transcript is </w:t>
      </w:r>
      <w:r w:rsidR="00856EBC">
        <w:t>passed downstream.</w:t>
      </w:r>
    </w:p>
    <w:p w14:paraId="0CB091B9" w14:textId="152DB6D1" w:rsidR="000B4AAD" w:rsidRDefault="007B2D33" w:rsidP="009B0AC2">
      <w:pPr>
        <w:pStyle w:val="Heading5"/>
      </w:pPr>
      <w:r>
        <w:lastRenderedPageBreak/>
        <w:t>A</w:t>
      </w:r>
      <w:r w:rsidR="00866249" w:rsidRPr="000B4AAD">
        <w:t>lignment</w:t>
      </w:r>
      <w:r>
        <w:t xml:space="preserve"> of proteins</w:t>
      </w:r>
    </w:p>
    <w:p w14:paraId="5B5CAA12" w14:textId="69CB826C" w:rsidR="00657E1C" w:rsidRPr="00657E1C" w:rsidRDefault="00657E1C" w:rsidP="00657E1C">
      <w:r>
        <w:t xml:space="preserve">Similarly to transcripts, proteins are </w:t>
      </w:r>
      <w:r w:rsidR="00C1457F">
        <w:t xml:space="preserve">first </w:t>
      </w:r>
      <w:r>
        <w:t>screened against a database of repeat</w:t>
      </w:r>
      <w:r w:rsidR="00015ED3">
        <w:t>s</w:t>
      </w:r>
      <w:r>
        <w:t xml:space="preserve"> and </w:t>
      </w:r>
      <w:r w:rsidR="00C1457F">
        <w:t xml:space="preserve">the </w:t>
      </w:r>
      <w:r w:rsidR="00D06B34">
        <w:t>curated list</w:t>
      </w:r>
      <w:r w:rsidR="00C1457F">
        <w:t xml:space="preserve"> of low-quality transcripts. Proteins are then </w:t>
      </w:r>
      <w:r w:rsidR="003A28C8">
        <w:t xml:space="preserve">aligned to </w:t>
      </w:r>
      <w:r w:rsidR="00856EBC">
        <w:t xml:space="preserve">the </w:t>
      </w:r>
      <w:r w:rsidR="003A28C8">
        <w:t>masked genome with BLAST and ProSplign. The alignment</w:t>
      </w:r>
      <w:r w:rsidR="0083387B">
        <w:t>s</w:t>
      </w:r>
      <w:r w:rsidR="003A28C8">
        <w:t xml:space="preserve"> are further ranked and filtered and passed to the </w:t>
      </w:r>
      <w:r w:rsidR="00015ED3">
        <w:t xml:space="preserve">gene prediction </w:t>
      </w:r>
      <w:r w:rsidR="003A28C8">
        <w:t>step.</w:t>
      </w:r>
    </w:p>
    <w:p w14:paraId="229AF2FB" w14:textId="751933C3" w:rsidR="00091BD6" w:rsidRDefault="00726A47" w:rsidP="009B0AC2">
      <w:pPr>
        <w:pStyle w:val="Heading5"/>
      </w:pPr>
      <w:r>
        <w:t>Alignment of short read</w:t>
      </w:r>
      <w:r w:rsidR="0062680B">
        <w:t>s</w:t>
      </w:r>
    </w:p>
    <w:p w14:paraId="69EEDF63" w14:textId="5E502F91" w:rsidR="00F5412B" w:rsidRDefault="00F5412B" w:rsidP="00F5412B">
      <w:pPr>
        <w:pStyle w:val="ListParagraph"/>
        <w:spacing w:after="100" w:afterAutospacing="1"/>
        <w:ind w:left="0"/>
        <w:rPr>
          <w:rFonts w:ascii="Arial" w:hAnsi="Arial" w:cs="Arial"/>
        </w:rPr>
      </w:pPr>
      <w:r w:rsidRPr="00091BD6">
        <w:rPr>
          <w:rFonts w:ascii="Arial" w:hAnsi="Arial" w:cs="Arial"/>
        </w:rPr>
        <w:t xml:space="preserve">Short reads </w:t>
      </w:r>
      <w:r w:rsidR="00544B51">
        <w:rPr>
          <w:rFonts w:ascii="Arial" w:hAnsi="Arial" w:cs="Arial"/>
        </w:rPr>
        <w:t xml:space="preserve">(RNA-Seq) </w:t>
      </w:r>
      <w:r>
        <w:rPr>
          <w:rFonts w:ascii="Arial" w:hAnsi="Arial" w:cs="Arial"/>
        </w:rPr>
        <w:t xml:space="preserve">available in the </w:t>
      </w:r>
      <w:r w:rsidR="00401152">
        <w:rPr>
          <w:rFonts w:ascii="Arial" w:hAnsi="Arial" w:cs="Arial"/>
        </w:rPr>
        <w:t>SRA</w:t>
      </w:r>
      <w:r>
        <w:rPr>
          <w:rFonts w:ascii="Arial" w:hAnsi="Arial" w:cs="Arial"/>
        </w:rPr>
        <w:t xml:space="preserve"> can be used </w:t>
      </w:r>
      <w:r w:rsidR="00DD1C48">
        <w:rPr>
          <w:rFonts w:ascii="Arial" w:hAnsi="Arial" w:cs="Arial"/>
        </w:rPr>
        <w:t xml:space="preserve">for </w:t>
      </w:r>
      <w:r>
        <w:rPr>
          <w:rFonts w:ascii="Arial" w:hAnsi="Arial" w:cs="Arial"/>
        </w:rPr>
        <w:t xml:space="preserve">gene prediction. A specific dataflow was engineered to handle the large volume and short length of sequences produced by new generation sequencing technologies.  </w:t>
      </w:r>
    </w:p>
    <w:p w14:paraId="0BFCC28B" w14:textId="77777777" w:rsidR="00F5412B" w:rsidRDefault="00F5412B" w:rsidP="00F5412B">
      <w:pPr>
        <w:pStyle w:val="ListParagraph"/>
        <w:spacing w:after="100" w:afterAutospacing="1"/>
        <w:ind w:left="0"/>
        <w:rPr>
          <w:rFonts w:ascii="Arial" w:hAnsi="Arial" w:cs="Arial"/>
        </w:rPr>
      </w:pPr>
    </w:p>
    <w:p w14:paraId="7ABFFF59" w14:textId="713EA58D" w:rsidR="00F5412B" w:rsidRPr="00117480" w:rsidRDefault="00544B51" w:rsidP="00F5412B">
      <w:pPr>
        <w:pStyle w:val="ListParagraph"/>
        <w:spacing w:after="100" w:afterAutospacing="1"/>
        <w:ind w:left="0"/>
        <w:rPr>
          <w:rFonts w:ascii="Arial" w:hAnsi="Arial" w:cs="Arial"/>
        </w:rPr>
      </w:pPr>
      <w:r>
        <w:rPr>
          <w:rFonts w:ascii="Arial" w:hAnsi="Arial" w:cs="Arial"/>
        </w:rPr>
        <w:t>RNA-Seq</w:t>
      </w:r>
      <w:r w:rsidR="00F5412B" w:rsidRPr="00117480">
        <w:rPr>
          <w:rFonts w:ascii="Arial" w:hAnsi="Arial" w:cs="Arial"/>
        </w:rPr>
        <w:t xml:space="preserve"> data from so-called </w:t>
      </w:r>
      <w:r w:rsidR="00015ED3">
        <w:rPr>
          <w:rFonts w:ascii="Arial" w:hAnsi="Arial" w:cs="Arial"/>
        </w:rPr>
        <w:t>next-generation</w:t>
      </w:r>
      <w:r w:rsidR="00015ED3" w:rsidRPr="00117480">
        <w:rPr>
          <w:rFonts w:ascii="Arial" w:hAnsi="Arial" w:cs="Arial"/>
        </w:rPr>
        <w:t xml:space="preserve"> </w:t>
      </w:r>
      <w:r w:rsidR="00F5412B" w:rsidRPr="00117480">
        <w:rPr>
          <w:rFonts w:ascii="Arial" w:hAnsi="Arial" w:cs="Arial"/>
        </w:rPr>
        <w:t xml:space="preserve">sequencing platforms present several challenges for use in gene prediction. First, the reads are substantially shorter than conventional transcript data such as ESTs and mRNAs, so an individual read contains relatively little information. For example, </w:t>
      </w:r>
      <w:r w:rsidR="00F5412B">
        <w:rPr>
          <w:rFonts w:ascii="Arial" w:hAnsi="Arial" w:cs="Arial"/>
        </w:rPr>
        <w:t>typically only 5-25</w:t>
      </w:r>
      <w:r w:rsidR="00F5412B" w:rsidRPr="00117480">
        <w:rPr>
          <w:rFonts w:ascii="Arial" w:hAnsi="Arial" w:cs="Arial"/>
        </w:rPr>
        <w:t xml:space="preserve">% of reads from the Illumina platform span an intron, which is the most useful data for building gene models. Second, the reads are </w:t>
      </w:r>
      <w:r w:rsidR="00015ED3">
        <w:rPr>
          <w:rFonts w:ascii="Arial" w:hAnsi="Arial" w:cs="Arial"/>
        </w:rPr>
        <w:t>extremely</w:t>
      </w:r>
      <w:r w:rsidR="00015ED3" w:rsidRPr="00117480">
        <w:rPr>
          <w:rFonts w:ascii="Arial" w:hAnsi="Arial" w:cs="Arial"/>
        </w:rPr>
        <w:t xml:space="preserve"> </w:t>
      </w:r>
      <w:r w:rsidR="00F5412B" w:rsidRPr="00117480">
        <w:rPr>
          <w:rFonts w:ascii="Arial" w:hAnsi="Arial" w:cs="Arial"/>
        </w:rPr>
        <w:t>numerous and redundant, with highly-expressed genes being represented by tens of millions of reads. This prese</w:t>
      </w:r>
      <w:r w:rsidR="00F5412B">
        <w:rPr>
          <w:rFonts w:ascii="Arial" w:hAnsi="Arial" w:cs="Arial"/>
        </w:rPr>
        <w:t xml:space="preserve">nts a challenge for throughput. </w:t>
      </w:r>
      <w:r w:rsidR="00F5412B" w:rsidRPr="00117480">
        <w:rPr>
          <w:rFonts w:ascii="Arial" w:hAnsi="Arial" w:cs="Arial"/>
        </w:rPr>
        <w:t>And third, the depth of coverage results in apparent background expression in most of the genome that isn't desirable to represent in the final gene models.</w:t>
      </w:r>
    </w:p>
    <w:p w14:paraId="32B3E3A8" w14:textId="77777777" w:rsidR="00F5412B" w:rsidRPr="00117480" w:rsidRDefault="00F5412B" w:rsidP="00F5412B">
      <w:pPr>
        <w:pStyle w:val="ListParagraph"/>
        <w:spacing w:after="100" w:afterAutospacing="1"/>
        <w:ind w:left="0"/>
        <w:rPr>
          <w:rFonts w:ascii="Arial" w:hAnsi="Arial" w:cs="Arial"/>
        </w:rPr>
      </w:pPr>
      <w:r w:rsidRPr="00117480">
        <w:rPr>
          <w:rFonts w:ascii="Arial" w:hAnsi="Arial" w:cs="Arial"/>
        </w:rPr>
        <w:t xml:space="preserve"> </w:t>
      </w:r>
    </w:p>
    <w:p w14:paraId="3A317448" w14:textId="4CC2CD69" w:rsidR="00F5412B" w:rsidRPr="00117480" w:rsidRDefault="00F5412B" w:rsidP="00F5412B">
      <w:pPr>
        <w:pStyle w:val="ListParagraph"/>
        <w:spacing w:after="100" w:afterAutospacing="1"/>
        <w:ind w:left="0"/>
        <w:rPr>
          <w:rFonts w:ascii="Arial" w:hAnsi="Arial" w:cs="Arial"/>
        </w:rPr>
      </w:pPr>
      <w:r w:rsidRPr="00117480">
        <w:rPr>
          <w:rFonts w:ascii="Arial" w:hAnsi="Arial" w:cs="Arial"/>
        </w:rPr>
        <w:t xml:space="preserve">The annotation pipeline addresses these issues in several ways to reduce the complexity of the </w:t>
      </w:r>
      <w:r w:rsidR="00544B51">
        <w:rPr>
          <w:rFonts w:ascii="Arial" w:hAnsi="Arial" w:cs="Arial"/>
        </w:rPr>
        <w:t>RNA-Seq</w:t>
      </w:r>
      <w:r w:rsidRPr="00117480">
        <w:rPr>
          <w:rFonts w:ascii="Arial" w:hAnsi="Arial" w:cs="Arial"/>
        </w:rPr>
        <w:t xml:space="preserve"> data and convert it to a form useful for gene predictions:</w:t>
      </w:r>
    </w:p>
    <w:p w14:paraId="1646B63D" w14:textId="0352219E" w:rsidR="00F5412B" w:rsidRPr="00117480" w:rsidRDefault="00F5412B" w:rsidP="00F5412B">
      <w:pPr>
        <w:pStyle w:val="ListParagraph"/>
        <w:numPr>
          <w:ilvl w:val="0"/>
          <w:numId w:val="12"/>
        </w:numPr>
        <w:spacing w:after="100" w:afterAutospacing="1"/>
        <w:rPr>
          <w:rFonts w:ascii="Arial" w:hAnsi="Arial" w:cs="Arial"/>
        </w:rPr>
      </w:pPr>
      <w:r w:rsidRPr="00117480">
        <w:rPr>
          <w:rFonts w:ascii="Arial" w:hAnsi="Arial" w:cs="Arial"/>
        </w:rPr>
        <w:t xml:space="preserve">Datasets and associated metadata are obtained from the SRA and </w:t>
      </w:r>
      <w:hyperlink r:id="rId26" w:history="1">
        <w:r w:rsidRPr="00401152">
          <w:rPr>
            <w:rStyle w:val="Hyperlink"/>
            <w:rFonts w:ascii="Arial" w:hAnsi="Arial" w:cs="Arial"/>
          </w:rPr>
          <w:t>BioSample</w:t>
        </w:r>
      </w:hyperlink>
      <w:r w:rsidRPr="00117480">
        <w:rPr>
          <w:rFonts w:ascii="Arial" w:hAnsi="Arial" w:cs="Arial"/>
        </w:rPr>
        <w:t xml:space="preserve"> databases, enabling robust tracking of evidence</w:t>
      </w:r>
      <w:r w:rsidR="005E7D22">
        <w:rPr>
          <w:rFonts w:ascii="Arial" w:hAnsi="Arial" w:cs="Arial"/>
        </w:rPr>
        <w:t>.</w:t>
      </w:r>
    </w:p>
    <w:p w14:paraId="31CA11F6" w14:textId="00E068E5" w:rsidR="00F5412B" w:rsidRPr="00117480" w:rsidRDefault="00F5412B" w:rsidP="00F5412B">
      <w:pPr>
        <w:pStyle w:val="ListParagraph"/>
        <w:numPr>
          <w:ilvl w:val="0"/>
          <w:numId w:val="12"/>
        </w:numPr>
        <w:spacing w:after="100" w:afterAutospacing="1"/>
        <w:rPr>
          <w:rFonts w:ascii="Arial" w:hAnsi="Arial" w:cs="Arial"/>
        </w:rPr>
      </w:pPr>
      <w:r w:rsidRPr="00117480">
        <w:rPr>
          <w:rFonts w:ascii="Arial" w:hAnsi="Arial" w:cs="Arial"/>
        </w:rPr>
        <w:t>The reads are "uniquified" so that 100% identical sequences are aligned only once</w:t>
      </w:r>
      <w:r w:rsidR="005E7D22">
        <w:rPr>
          <w:rFonts w:ascii="Arial" w:hAnsi="Arial" w:cs="Arial"/>
        </w:rPr>
        <w:t>.</w:t>
      </w:r>
    </w:p>
    <w:p w14:paraId="301FCF01" w14:textId="3C24B90A" w:rsidR="00F5412B" w:rsidRPr="00117480" w:rsidRDefault="00F5412B" w:rsidP="00F5412B">
      <w:pPr>
        <w:pStyle w:val="ListParagraph"/>
        <w:numPr>
          <w:ilvl w:val="0"/>
          <w:numId w:val="12"/>
        </w:numPr>
        <w:spacing w:after="100" w:afterAutospacing="1"/>
        <w:rPr>
          <w:rFonts w:ascii="Arial" w:hAnsi="Arial" w:cs="Arial"/>
        </w:rPr>
      </w:pPr>
      <w:r w:rsidRPr="00117480">
        <w:rPr>
          <w:rFonts w:ascii="Arial" w:hAnsi="Arial" w:cs="Arial"/>
        </w:rPr>
        <w:t xml:space="preserve">Unique reads are aligned, </w:t>
      </w:r>
      <w:r w:rsidR="00DD1C48">
        <w:rPr>
          <w:rFonts w:ascii="Arial" w:hAnsi="Arial" w:cs="Arial"/>
        </w:rPr>
        <w:t>ranked</w:t>
      </w:r>
      <w:r w:rsidRPr="00117480">
        <w:rPr>
          <w:rFonts w:ascii="Arial" w:hAnsi="Arial" w:cs="Arial"/>
        </w:rPr>
        <w:t>, and filtered for high identity and coverage alignments</w:t>
      </w:r>
      <w:r w:rsidR="005E7D22">
        <w:rPr>
          <w:rFonts w:ascii="Arial" w:hAnsi="Arial" w:cs="Arial"/>
        </w:rPr>
        <w:t>.</w:t>
      </w:r>
    </w:p>
    <w:p w14:paraId="4F551B86" w14:textId="67DB86AC" w:rsidR="00F5412B" w:rsidRPr="00117480" w:rsidRDefault="00F5412B" w:rsidP="00F5412B">
      <w:pPr>
        <w:pStyle w:val="ListParagraph"/>
        <w:numPr>
          <w:ilvl w:val="0"/>
          <w:numId w:val="12"/>
        </w:numPr>
        <w:spacing w:after="100" w:afterAutospacing="1"/>
        <w:rPr>
          <w:rFonts w:ascii="Arial" w:hAnsi="Arial" w:cs="Arial"/>
        </w:rPr>
      </w:pPr>
      <w:r w:rsidRPr="00117480">
        <w:rPr>
          <w:rFonts w:ascii="Arial" w:hAnsi="Arial" w:cs="Arial"/>
        </w:rPr>
        <w:t>Alignments with the same splice structure and the same or similar start and end points are collapsed into a single representative alignment. The number of reads from each SRA run is tracked for each collapsed alignment</w:t>
      </w:r>
      <w:r w:rsidR="005E7D22">
        <w:rPr>
          <w:rFonts w:ascii="Arial" w:hAnsi="Arial" w:cs="Arial"/>
        </w:rPr>
        <w:t>.</w:t>
      </w:r>
    </w:p>
    <w:p w14:paraId="0F0DCC6F" w14:textId="6BCA5D9B" w:rsidR="00F5412B" w:rsidRPr="00117480" w:rsidRDefault="00F5412B" w:rsidP="00F5412B">
      <w:pPr>
        <w:pStyle w:val="ListParagraph"/>
        <w:numPr>
          <w:ilvl w:val="0"/>
          <w:numId w:val="12"/>
        </w:numPr>
        <w:spacing w:after="100" w:afterAutospacing="1"/>
        <w:rPr>
          <w:rFonts w:ascii="Arial" w:hAnsi="Arial" w:cs="Arial"/>
        </w:rPr>
      </w:pPr>
      <w:r w:rsidRPr="00117480">
        <w:rPr>
          <w:rFonts w:ascii="Arial" w:hAnsi="Arial" w:cs="Arial"/>
        </w:rPr>
        <w:t xml:space="preserve">Alignments containing rare introns or that represent apparent </w:t>
      </w:r>
      <w:r>
        <w:rPr>
          <w:rFonts w:ascii="Arial" w:hAnsi="Arial" w:cs="Arial"/>
        </w:rPr>
        <w:t xml:space="preserve">noise or </w:t>
      </w:r>
      <w:r w:rsidRPr="00117480">
        <w:rPr>
          <w:rFonts w:ascii="Arial" w:hAnsi="Arial" w:cs="Arial"/>
        </w:rPr>
        <w:t>background are filtered from the dataset</w:t>
      </w:r>
      <w:r w:rsidR="005E7D22">
        <w:rPr>
          <w:rFonts w:ascii="Arial" w:hAnsi="Arial" w:cs="Arial"/>
        </w:rPr>
        <w:t>.</w:t>
      </w:r>
    </w:p>
    <w:p w14:paraId="1F686F41" w14:textId="77777777" w:rsidR="00F5412B" w:rsidRPr="00117480" w:rsidRDefault="00F5412B" w:rsidP="00F5412B">
      <w:pPr>
        <w:pStyle w:val="ListParagraph"/>
        <w:spacing w:after="100" w:afterAutospacing="1"/>
        <w:ind w:left="0"/>
        <w:rPr>
          <w:rFonts w:ascii="Arial" w:hAnsi="Arial" w:cs="Arial"/>
        </w:rPr>
      </w:pPr>
      <w:r w:rsidRPr="00117480">
        <w:rPr>
          <w:rFonts w:ascii="Arial" w:hAnsi="Arial" w:cs="Arial"/>
        </w:rPr>
        <w:t xml:space="preserve"> </w:t>
      </w:r>
    </w:p>
    <w:p w14:paraId="0480DB8C" w14:textId="3C1E49CC" w:rsidR="00F5412B" w:rsidRPr="00117480" w:rsidRDefault="00F5412B" w:rsidP="00F5412B">
      <w:pPr>
        <w:pStyle w:val="ListParagraph"/>
        <w:spacing w:after="100" w:afterAutospacing="1"/>
        <w:ind w:left="0"/>
        <w:rPr>
          <w:rFonts w:ascii="Arial" w:hAnsi="Arial" w:cs="Arial"/>
        </w:rPr>
      </w:pPr>
      <w:r w:rsidRPr="00117480">
        <w:rPr>
          <w:rFonts w:ascii="Arial" w:hAnsi="Arial" w:cs="Arial"/>
        </w:rPr>
        <w:t xml:space="preserve">Taken together, these steps reduce the size and complexity of a typical </w:t>
      </w:r>
      <w:r w:rsidR="00544B51">
        <w:rPr>
          <w:rFonts w:ascii="Arial" w:hAnsi="Arial" w:cs="Arial"/>
        </w:rPr>
        <w:t>RNA-Seq</w:t>
      </w:r>
      <w:r w:rsidRPr="00117480">
        <w:rPr>
          <w:rFonts w:ascii="Arial" w:hAnsi="Arial" w:cs="Arial"/>
        </w:rPr>
        <w:t xml:space="preserve"> dataset by 100-1000x. The resulting collapsed alignments can be used by themselves or combined with transcript and/or protein alignments for the gene prediction step.</w:t>
      </w:r>
    </w:p>
    <w:p w14:paraId="326864C6" w14:textId="77777777" w:rsidR="00F5412B" w:rsidRPr="00F5412B" w:rsidRDefault="00F5412B" w:rsidP="00F5412B"/>
    <w:p w14:paraId="7340E769" w14:textId="15CB2C52" w:rsidR="00F179AC" w:rsidRDefault="00F179AC" w:rsidP="009B0AC2">
      <w:pPr>
        <w:pStyle w:val="Heading4"/>
      </w:pPr>
      <w:r w:rsidRPr="00FC6D96">
        <w:t>Gene prediction</w:t>
      </w:r>
      <w:r w:rsidR="007B2D33">
        <w:t xml:space="preserve"> </w:t>
      </w:r>
      <w:r w:rsidR="00F51A0F">
        <w:t>by Gnomon</w:t>
      </w:r>
    </w:p>
    <w:p w14:paraId="138E3AE2" w14:textId="425DC3ED" w:rsidR="00867E60" w:rsidRDefault="00867E60" w:rsidP="00867E60">
      <w:r>
        <w:t xml:space="preserve">Protein transcript </w:t>
      </w:r>
      <w:r w:rsidR="00FE7AB7">
        <w:t xml:space="preserve">and short read </w:t>
      </w:r>
      <w:r>
        <w:t xml:space="preserve">alignments are passed to Gnomon for gene prediction. </w:t>
      </w:r>
      <w:r w:rsidR="00FE7AB7">
        <w:t>Chainer</w:t>
      </w:r>
      <w:r w:rsidR="00F51A0F">
        <w:t xml:space="preserve"> assembles</w:t>
      </w:r>
      <w:r>
        <w:t xml:space="preserve"> alignments with </w:t>
      </w:r>
      <w:r w:rsidR="00DD1C48">
        <w:t xml:space="preserve">the same exon structure and </w:t>
      </w:r>
      <w:r w:rsidR="00D06B34">
        <w:t xml:space="preserve">with </w:t>
      </w:r>
      <w:r>
        <w:t xml:space="preserve">coding regions </w:t>
      </w:r>
      <w:r w:rsidR="00785FDB">
        <w:t xml:space="preserve">in </w:t>
      </w:r>
      <w:r>
        <w:t xml:space="preserve">compatible frames into putative models. Gnomon </w:t>
      </w:r>
      <w:r w:rsidR="00F51A0F">
        <w:t xml:space="preserve">then </w:t>
      </w:r>
      <w:r>
        <w:t xml:space="preserve">extends </w:t>
      </w:r>
      <w:r w:rsidR="00FE7AB7">
        <w:t>the models</w:t>
      </w:r>
      <w:r>
        <w:t xml:space="preserve"> missing a start or a stop codon or internal exon(s) using an HMM-based algorithm. Gnomon additionally creates </w:t>
      </w:r>
      <w:r>
        <w:lastRenderedPageBreak/>
        <w:t xml:space="preserve">pure </w:t>
      </w:r>
      <w:r w:rsidR="006E103B" w:rsidRPr="006E103B">
        <w:rPr>
          <w:i/>
        </w:rPr>
        <w:t>ab initio</w:t>
      </w:r>
      <w:r>
        <w:t xml:space="preserve"> predictions where open reading frames of sufficient length but with no su</w:t>
      </w:r>
      <w:r w:rsidR="003A28C8">
        <w:t xml:space="preserve">pporting alignment are detected (see </w:t>
      </w:r>
      <w:hyperlink w:anchor="_Methods" w:history="1">
        <w:r w:rsidR="003A28C8" w:rsidRPr="00906699">
          <w:rPr>
            <w:rStyle w:val="Hyperlink"/>
          </w:rPr>
          <w:t>Methods</w:t>
        </w:r>
      </w:hyperlink>
      <w:r w:rsidR="003A28C8">
        <w:t>).</w:t>
      </w:r>
    </w:p>
    <w:p w14:paraId="5D8F4C1F" w14:textId="24F612D1" w:rsidR="00FE7AB7" w:rsidRDefault="00867E60" w:rsidP="00867E60">
      <w:r>
        <w:t xml:space="preserve">This first set of predictions is further refined by alignment against a subset of the nr (non-redundant) database of protein sequences. The additional alignments are </w:t>
      </w:r>
      <w:r w:rsidR="00FE7AB7">
        <w:t>added to the initial alignments</w:t>
      </w:r>
      <w:r>
        <w:t xml:space="preserve"> and the chaining and </w:t>
      </w:r>
      <w:r w:rsidR="006E103B" w:rsidRPr="006E103B">
        <w:rPr>
          <w:i/>
        </w:rPr>
        <w:t>ab initio</w:t>
      </w:r>
      <w:r>
        <w:t xml:space="preserve"> extension steps are repeated. The results constitute the set of Gnomon predictions.</w:t>
      </w:r>
    </w:p>
    <w:p w14:paraId="44F8F19F" w14:textId="1F02CFC0" w:rsidR="00860252" w:rsidRDefault="00FE7AB7" w:rsidP="00867E60">
      <w:r>
        <w:t>Alternate variants</w:t>
      </w:r>
      <w:r w:rsidR="00641BD8">
        <w:t>, complete or partial,</w:t>
      </w:r>
      <w:r>
        <w:t xml:space="preserve"> </w:t>
      </w:r>
      <w:r w:rsidR="00641BD8">
        <w:t>may</w:t>
      </w:r>
      <w:r>
        <w:t xml:space="preserve"> be produced for each gene</w:t>
      </w:r>
      <w:r w:rsidR="00DE1AA5">
        <w:t>.</w:t>
      </w:r>
    </w:p>
    <w:p w14:paraId="06C08E8D" w14:textId="55CA3587" w:rsidR="00867E60" w:rsidRDefault="00867E60" w:rsidP="00867E60">
      <w:r>
        <w:t>Frameshifts, indels</w:t>
      </w:r>
      <w:r w:rsidR="00906699">
        <w:t>,</w:t>
      </w:r>
      <w:r>
        <w:t xml:space="preserve"> and stop codons may occur in the resulting Gnomon predictions. They reflect sequence differences between the input transcript and protein alignments and the genome assembly.</w:t>
      </w:r>
    </w:p>
    <w:p w14:paraId="663B7F44" w14:textId="77777777" w:rsidR="00867E60" w:rsidRPr="00867E60" w:rsidRDefault="00867E60" w:rsidP="00867E60"/>
    <w:p w14:paraId="369E287C" w14:textId="251E04B3" w:rsidR="00F179AC" w:rsidRDefault="00F179AC" w:rsidP="009B0AC2">
      <w:pPr>
        <w:pStyle w:val="Heading4"/>
      </w:pPr>
      <w:r w:rsidRPr="00FC6D96">
        <w:t>Annotat</w:t>
      </w:r>
      <w:r w:rsidR="007A0EFB" w:rsidRPr="00FC6D96">
        <w:t>i</w:t>
      </w:r>
      <w:r w:rsidRPr="00FC6D96">
        <w:t>on of small RNA</w:t>
      </w:r>
    </w:p>
    <w:p w14:paraId="7D9BAD27" w14:textId="497466F7" w:rsidR="00710C57" w:rsidRPr="00710C57" w:rsidRDefault="00710C57" w:rsidP="00710C57">
      <w:r>
        <w:t>tRNA</w:t>
      </w:r>
      <w:r w:rsidR="00646A19">
        <w:t>s</w:t>
      </w:r>
      <w:r>
        <w:t xml:space="preserve"> are annotated using tRNAScan</w:t>
      </w:r>
      <w:r w:rsidR="00C1457F">
        <w:t>-SE</w:t>
      </w:r>
      <w:r w:rsidR="00B34F4F">
        <w:t xml:space="preserve"> (</w:t>
      </w:r>
      <w:r w:rsidR="00631AF8">
        <w:t>16</w:t>
      </w:r>
      <w:r w:rsidR="00B34F4F">
        <w:t xml:space="preserve">). </w:t>
      </w:r>
      <w:r w:rsidR="00D720A4">
        <w:t>Other</w:t>
      </w:r>
      <w:r>
        <w:t xml:space="preserve"> small RNAs are annotated by placement of </w:t>
      </w:r>
      <w:r w:rsidR="00C1457F">
        <w:t xml:space="preserve">same-species </w:t>
      </w:r>
      <w:r>
        <w:t xml:space="preserve">curated RefSeq transcripts. </w:t>
      </w:r>
      <w:r w:rsidR="00C1457F">
        <w:t>Hence, these are only part of the annotation if they were incorporated</w:t>
      </w:r>
      <w:r w:rsidR="00B34F4F">
        <w:t xml:space="preserve"> in the</w:t>
      </w:r>
      <w:r w:rsidR="00C1457F">
        <w:t xml:space="preserve"> Re</w:t>
      </w:r>
      <w:r w:rsidR="00F5412B">
        <w:t>f</w:t>
      </w:r>
      <w:r w:rsidR="00C1457F">
        <w:t>Seq set</w:t>
      </w:r>
      <w:r w:rsidR="00B34F4F">
        <w:t xml:space="preserve"> for the organism being annotated</w:t>
      </w:r>
      <w:r w:rsidR="00C1457F">
        <w:t xml:space="preserve">. </w:t>
      </w:r>
      <w:r>
        <w:t>Currently the RefSeq set may include</w:t>
      </w:r>
      <w:r w:rsidR="00D06B34">
        <w:t xml:space="preserve"> small RNAs identified by</w:t>
      </w:r>
      <w:r w:rsidR="007037D5">
        <w:t xml:space="preserve"> curation, collaboration, or</w:t>
      </w:r>
      <w:r w:rsidR="00D06B34">
        <w:t xml:space="preserve"> external sources</w:t>
      </w:r>
      <w:r w:rsidR="00906699">
        <w:t>,</w:t>
      </w:r>
      <w:r w:rsidR="00D06B34">
        <w:t xml:space="preserve"> </w:t>
      </w:r>
      <w:r w:rsidR="007037D5">
        <w:t xml:space="preserve">which is currently limited to </w:t>
      </w:r>
      <w:r>
        <w:t>mi</w:t>
      </w:r>
      <w:r w:rsidR="00F5412B">
        <w:t>cro</w:t>
      </w:r>
      <w:r>
        <w:t>RNA</w:t>
      </w:r>
      <w:r w:rsidR="007037D5">
        <w:t>s</w:t>
      </w:r>
      <w:r>
        <w:t xml:space="preserve"> </w:t>
      </w:r>
      <w:r w:rsidR="00F51A0F">
        <w:t xml:space="preserve">obtained </w:t>
      </w:r>
      <w:r>
        <w:t xml:space="preserve">from </w:t>
      </w:r>
      <w:hyperlink r:id="rId27" w:history="1">
        <w:r w:rsidRPr="00785FDB">
          <w:rPr>
            <w:rStyle w:val="Hyperlink"/>
          </w:rPr>
          <w:t>mi</w:t>
        </w:r>
        <w:r w:rsidR="00785FDB" w:rsidRPr="00785FDB">
          <w:rPr>
            <w:rStyle w:val="Hyperlink"/>
          </w:rPr>
          <w:t>R</w:t>
        </w:r>
        <w:r w:rsidRPr="00785FDB">
          <w:rPr>
            <w:rStyle w:val="Hyperlink"/>
          </w:rPr>
          <w:t>B</w:t>
        </w:r>
        <w:r w:rsidR="00C1457F" w:rsidRPr="00785FDB">
          <w:rPr>
            <w:rStyle w:val="Hyperlink"/>
          </w:rPr>
          <w:t>ase</w:t>
        </w:r>
      </w:hyperlink>
      <w:r w:rsidR="00C1457F">
        <w:t xml:space="preserve"> </w:t>
      </w:r>
      <w:r w:rsidR="005211E1">
        <w:t>(</w:t>
      </w:r>
      <w:r w:rsidR="00631AF8">
        <w:t>17</w:t>
      </w:r>
      <w:r w:rsidR="00B34F4F">
        <w:t>)</w:t>
      </w:r>
      <w:r w:rsidR="00F5412B">
        <w:t>.</w:t>
      </w:r>
    </w:p>
    <w:p w14:paraId="03433A8C" w14:textId="77777777" w:rsidR="00C1457F" w:rsidRDefault="00C1457F" w:rsidP="009B0AC2">
      <w:pPr>
        <w:pStyle w:val="Heading4"/>
      </w:pPr>
    </w:p>
    <w:p w14:paraId="0BB345F5" w14:textId="3C3C3004" w:rsidR="00856EBC" w:rsidRDefault="00F557BE" w:rsidP="00F5412B">
      <w:pPr>
        <w:pStyle w:val="Heading4"/>
      </w:pPr>
      <w:bookmarkStart w:id="2" w:name="_Choosing_the_best"/>
      <w:bookmarkEnd w:id="2"/>
      <w:r w:rsidRPr="00FC6D96">
        <w:t xml:space="preserve">Choosing the best model(s) </w:t>
      </w:r>
    </w:p>
    <w:p w14:paraId="6DD805A1" w14:textId="119EF34A" w:rsidR="00682531" w:rsidRDefault="009A2293" w:rsidP="005C206A">
      <w:r>
        <w:t xml:space="preserve">The final set of annotated features comprises, in order of preference, pre-existing known RefSeq sequences and </w:t>
      </w:r>
      <w:r w:rsidR="00682531">
        <w:t xml:space="preserve">a subset of well-supported </w:t>
      </w:r>
      <w:r>
        <w:t>Gnomon-predicted models</w:t>
      </w:r>
      <w:r w:rsidRPr="00F5412B">
        <w:t>.</w:t>
      </w:r>
      <w:r>
        <w:t xml:space="preserve"> </w:t>
      </w:r>
      <w:r w:rsidR="00682531">
        <w:t>It</w:t>
      </w:r>
      <w:r>
        <w:t xml:space="preserve"> is built by evaluating together </w:t>
      </w:r>
      <w:r w:rsidR="003F0A62">
        <w:t xml:space="preserve">at each locus </w:t>
      </w:r>
      <w:r>
        <w:t xml:space="preserve">the </w:t>
      </w:r>
      <w:r w:rsidR="00C24414">
        <w:t xml:space="preserve">known </w:t>
      </w:r>
      <w:r>
        <w:t xml:space="preserve">RefSeq transcripts, the features projected from the curated </w:t>
      </w:r>
      <w:r w:rsidR="00AE2FC6">
        <w:t xml:space="preserve">RefSeq </w:t>
      </w:r>
      <w:r>
        <w:t>genomic alignments</w:t>
      </w:r>
      <w:r w:rsidR="00906699">
        <w:t>,</w:t>
      </w:r>
      <w:r>
        <w:t xml:space="preserve"> and the </w:t>
      </w:r>
      <w:r w:rsidR="003F0A62">
        <w:t>models predicted by Gnomon</w:t>
      </w:r>
      <w:r>
        <w:t xml:space="preserve">. </w:t>
      </w:r>
    </w:p>
    <w:p w14:paraId="76F9CA66" w14:textId="4F363246" w:rsidR="005C206A" w:rsidRDefault="005C206A" w:rsidP="009B0AC2">
      <w:pPr>
        <w:pStyle w:val="Heading5"/>
      </w:pPr>
      <w:r>
        <w:t xml:space="preserve">Models based on </w:t>
      </w:r>
      <w:r w:rsidR="00785FDB">
        <w:t xml:space="preserve">known and </w:t>
      </w:r>
      <w:r>
        <w:t>curated RefSeq</w:t>
      </w:r>
    </w:p>
    <w:p w14:paraId="00C60F66" w14:textId="19E82465" w:rsidR="00861510" w:rsidRDefault="00AE2FC6" w:rsidP="005C206A">
      <w:r>
        <w:t>RefSeq transcripts are given precedence over overlapping Gnomon models with the same splice pattern.</w:t>
      </w:r>
      <w:r w:rsidR="00DD1C48">
        <w:t xml:space="preserve"> </w:t>
      </w:r>
      <w:r w:rsidR="005C206A">
        <w:t xml:space="preserve">Alignments of </w:t>
      </w:r>
      <w:r w:rsidR="00785FDB">
        <w:t>known</w:t>
      </w:r>
      <w:r w:rsidR="005C206A">
        <w:t xml:space="preserve"> same-species RefSeq transcripts or </w:t>
      </w:r>
      <w:r w:rsidR="00785FDB">
        <w:t xml:space="preserve">curated </w:t>
      </w:r>
      <w:r w:rsidR="005C206A">
        <w:t xml:space="preserve">genomic sequences are </w:t>
      </w:r>
      <w:r w:rsidR="00682531">
        <w:t xml:space="preserve">used </w:t>
      </w:r>
      <w:r w:rsidR="005C206A">
        <w:t>directly to annotate the gene, RNA</w:t>
      </w:r>
      <w:r w:rsidR="00906699">
        <w:t>,</w:t>
      </w:r>
      <w:r w:rsidR="005C206A">
        <w:t xml:space="preserve"> and CDS features on the genome. </w:t>
      </w:r>
      <w:r w:rsidR="00702403">
        <w:t xml:space="preserve">Since </w:t>
      </w:r>
      <w:r w:rsidR="00861510" w:rsidRPr="00861510">
        <w:t xml:space="preserve">the </w:t>
      </w:r>
      <w:r w:rsidR="00384AC7">
        <w:t>RefSeq</w:t>
      </w:r>
      <w:r w:rsidR="00861510" w:rsidRPr="00861510">
        <w:t xml:space="preserve"> sequence may not align perfectly or completely</w:t>
      </w:r>
      <w:r w:rsidR="00384AC7">
        <w:t xml:space="preserve"> to the genomic sequence</w:t>
      </w:r>
      <w:r w:rsidR="00702403">
        <w:t>, a consequence of this rule is that the annotated product may differ from the conceptual translation of the genome.</w:t>
      </w:r>
    </w:p>
    <w:p w14:paraId="1EB643B2" w14:textId="77777777" w:rsidR="00861510" w:rsidRDefault="00861510" w:rsidP="005C206A"/>
    <w:p w14:paraId="6855A9BE" w14:textId="689FB553" w:rsidR="00AE2FC6" w:rsidRPr="00AE2FC6" w:rsidRDefault="00861510">
      <w:pPr>
        <w:pStyle w:val="Heading5"/>
      </w:pPr>
      <w:r>
        <w:t>Models based on Gnomon predictions</w:t>
      </w:r>
    </w:p>
    <w:p w14:paraId="393E2F73" w14:textId="4945123C" w:rsidR="00861510" w:rsidRDefault="00861510" w:rsidP="00861510">
      <w:r>
        <w:t xml:space="preserve">Gnomon predictions </w:t>
      </w:r>
      <w:r w:rsidR="00682531">
        <w:t>are included</w:t>
      </w:r>
      <w:r>
        <w:t xml:space="preserve"> in the final set</w:t>
      </w:r>
      <w:r w:rsidR="00196B88">
        <w:t xml:space="preserve"> of annotation</w:t>
      </w:r>
      <w:r w:rsidR="008C42D2">
        <w:t>s</w:t>
      </w:r>
      <w:r>
        <w:t xml:space="preserve"> </w:t>
      </w:r>
      <w:r w:rsidR="00682531" w:rsidRPr="00296E81">
        <w:rPr>
          <w:rFonts w:cs="Arial"/>
        </w:rPr>
        <w:t>if the</w:t>
      </w:r>
      <w:r w:rsidR="00682531">
        <w:rPr>
          <w:rFonts w:cs="Arial"/>
        </w:rPr>
        <w:t xml:space="preserve">y do not share all splice sites with a </w:t>
      </w:r>
      <w:r w:rsidR="00682531" w:rsidRPr="00296E81">
        <w:rPr>
          <w:rFonts w:cs="Arial"/>
        </w:rPr>
        <w:t xml:space="preserve">RefSeq </w:t>
      </w:r>
      <w:r w:rsidR="00682531">
        <w:rPr>
          <w:rFonts w:cs="Arial"/>
        </w:rPr>
        <w:t>transcript</w:t>
      </w:r>
      <w:r w:rsidR="00D03E9F">
        <w:rPr>
          <w:rFonts w:cs="Arial"/>
        </w:rPr>
        <w:t xml:space="preserve"> and </w:t>
      </w:r>
      <w:r w:rsidR="008C42D2">
        <w:rPr>
          <w:rFonts w:cs="Arial"/>
        </w:rPr>
        <w:t>if they meet certain quality thresholds</w:t>
      </w:r>
      <w:r w:rsidR="00C24414">
        <w:rPr>
          <w:rFonts w:cs="Arial"/>
        </w:rPr>
        <w:t xml:space="preserve"> including</w:t>
      </w:r>
      <w:r w:rsidR="00D03E9F">
        <w:rPr>
          <w:rFonts w:cs="Arial"/>
        </w:rPr>
        <w:t>:</w:t>
      </w:r>
    </w:p>
    <w:p w14:paraId="1FEFF2A8" w14:textId="79C8E73E" w:rsidR="00D03E9F" w:rsidRPr="008C42D2" w:rsidRDefault="00861510" w:rsidP="008C42D2">
      <w:pPr>
        <w:pStyle w:val="ListParagraph"/>
        <w:numPr>
          <w:ilvl w:val="0"/>
          <w:numId w:val="2"/>
        </w:numPr>
        <w:rPr>
          <w:rFonts w:cs="Arial"/>
        </w:rPr>
      </w:pPr>
      <w:r w:rsidRPr="00EA7153">
        <w:rPr>
          <w:rFonts w:ascii="Arial" w:hAnsi="Arial" w:cs="Arial"/>
        </w:rPr>
        <w:t>Only fully- or partially-supported Gnomon predictions</w:t>
      </w:r>
      <w:r w:rsidR="008C42D2">
        <w:rPr>
          <w:rFonts w:ascii="Arial" w:hAnsi="Arial" w:cs="Arial"/>
        </w:rPr>
        <w:t xml:space="preserve">, or pure </w:t>
      </w:r>
      <w:r w:rsidR="008C42D2" w:rsidRPr="008C42D2">
        <w:rPr>
          <w:rFonts w:ascii="Arial" w:hAnsi="Arial" w:cs="Arial"/>
          <w:i/>
        </w:rPr>
        <w:t>ab initio</w:t>
      </w:r>
      <w:r w:rsidR="008C42D2">
        <w:rPr>
          <w:rFonts w:ascii="Arial" w:hAnsi="Arial" w:cs="Arial"/>
        </w:rPr>
        <w:t xml:space="preserve"> Gnomon predictions with high coverage hits to UniProtKB/SwissProt proteins are selected</w:t>
      </w:r>
      <w:r w:rsidR="00906699">
        <w:rPr>
          <w:rFonts w:ascii="Arial" w:hAnsi="Arial" w:cs="Arial"/>
        </w:rPr>
        <w:t>.</w:t>
      </w:r>
      <w:r w:rsidR="008C42D2">
        <w:rPr>
          <w:rFonts w:ascii="Arial" w:hAnsi="Arial" w:cs="Arial"/>
        </w:rPr>
        <w:t xml:space="preserve"> </w:t>
      </w:r>
    </w:p>
    <w:p w14:paraId="0191406A" w14:textId="09D105FA" w:rsidR="00D03E9F" w:rsidRPr="00EA7153" w:rsidRDefault="00D03E9F" w:rsidP="00D03E9F">
      <w:pPr>
        <w:pStyle w:val="ListParagraph"/>
        <w:numPr>
          <w:ilvl w:val="0"/>
          <w:numId w:val="2"/>
        </w:numPr>
        <w:rPr>
          <w:rFonts w:ascii="Arial" w:hAnsi="Arial" w:cs="Arial"/>
        </w:rPr>
      </w:pPr>
      <w:r>
        <w:rPr>
          <w:rFonts w:ascii="Arial" w:hAnsi="Arial" w:cs="Arial"/>
        </w:rPr>
        <w:lastRenderedPageBreak/>
        <w:t>When multiple fully-supported transcript variants are predicted</w:t>
      </w:r>
      <w:r w:rsidR="008C42D2">
        <w:rPr>
          <w:rFonts w:ascii="Arial" w:hAnsi="Arial" w:cs="Arial"/>
        </w:rPr>
        <w:t xml:space="preserve"> for a gene</w:t>
      </w:r>
      <w:r>
        <w:rPr>
          <w:rFonts w:ascii="Arial" w:hAnsi="Arial" w:cs="Arial"/>
        </w:rPr>
        <w:t xml:space="preserve">, only the Gnomon predictions </w:t>
      </w:r>
      <w:r w:rsidRPr="00EA7153">
        <w:rPr>
          <w:rFonts w:ascii="Arial" w:hAnsi="Arial" w:cs="Arial"/>
        </w:rPr>
        <w:t xml:space="preserve">supported </w:t>
      </w:r>
      <w:r w:rsidR="00F32A8D">
        <w:rPr>
          <w:rFonts w:ascii="Arial" w:hAnsi="Arial" w:cs="Arial"/>
        </w:rPr>
        <w:t xml:space="preserve">in </w:t>
      </w:r>
      <w:r w:rsidR="005612F3">
        <w:rPr>
          <w:rFonts w:ascii="Arial" w:hAnsi="Arial" w:cs="Arial"/>
        </w:rPr>
        <w:t xml:space="preserve">their </w:t>
      </w:r>
      <w:r w:rsidR="00F32A8D">
        <w:rPr>
          <w:rFonts w:ascii="Arial" w:hAnsi="Arial" w:cs="Arial"/>
        </w:rPr>
        <w:t xml:space="preserve">entirety </w:t>
      </w:r>
      <w:r w:rsidRPr="00EA7153">
        <w:rPr>
          <w:rFonts w:ascii="Arial" w:hAnsi="Arial" w:cs="Arial"/>
        </w:rPr>
        <w:t>by a single long alignment (e.g.</w:t>
      </w:r>
      <w:r w:rsidR="00906699">
        <w:rPr>
          <w:rFonts w:ascii="Arial" w:hAnsi="Arial" w:cs="Arial"/>
        </w:rPr>
        <w:t>,</w:t>
      </w:r>
      <w:r w:rsidRPr="00EA7153">
        <w:rPr>
          <w:rFonts w:ascii="Arial" w:hAnsi="Arial" w:cs="Arial"/>
        </w:rPr>
        <w:t xml:space="preserve"> a full-length mRNA) or </w:t>
      </w:r>
      <w:r>
        <w:rPr>
          <w:rFonts w:ascii="Arial" w:hAnsi="Arial" w:cs="Arial"/>
        </w:rPr>
        <w:t>by RNA-Seq reads from a single BioSample are selected</w:t>
      </w:r>
      <w:r w:rsidR="00906699">
        <w:rPr>
          <w:rFonts w:ascii="Arial" w:hAnsi="Arial" w:cs="Arial"/>
        </w:rPr>
        <w:t>.</w:t>
      </w:r>
    </w:p>
    <w:p w14:paraId="02B43C4B" w14:textId="32DF0E67" w:rsidR="00861510" w:rsidRDefault="00785FDB" w:rsidP="00EA7153">
      <w:pPr>
        <w:pStyle w:val="ListParagraph"/>
        <w:numPr>
          <w:ilvl w:val="0"/>
          <w:numId w:val="2"/>
        </w:numPr>
        <w:rPr>
          <w:rFonts w:ascii="Arial" w:hAnsi="Arial" w:cs="Arial"/>
        </w:rPr>
      </w:pPr>
      <w:r w:rsidRPr="00EA7153">
        <w:rPr>
          <w:rFonts w:ascii="Arial" w:hAnsi="Arial" w:cs="Arial"/>
        </w:rPr>
        <w:t>Poorly</w:t>
      </w:r>
      <w:r>
        <w:rPr>
          <w:rFonts w:ascii="Arial" w:hAnsi="Arial" w:cs="Arial"/>
        </w:rPr>
        <w:t>-</w:t>
      </w:r>
      <w:r w:rsidR="00861510" w:rsidRPr="00EA7153">
        <w:rPr>
          <w:rFonts w:ascii="Arial" w:hAnsi="Arial" w:cs="Arial"/>
        </w:rPr>
        <w:t>supported Gnomon predictions conflicting with better-supported models annotated on the opposite strand are excluded from the final set of models</w:t>
      </w:r>
      <w:r w:rsidR="00906699">
        <w:rPr>
          <w:rFonts w:ascii="Arial" w:hAnsi="Arial" w:cs="Arial"/>
        </w:rPr>
        <w:t>.</w:t>
      </w:r>
    </w:p>
    <w:p w14:paraId="5779BF6B" w14:textId="3238634E" w:rsidR="00861510" w:rsidRPr="00EA7153" w:rsidRDefault="00C24414" w:rsidP="00EA7153">
      <w:pPr>
        <w:pStyle w:val="ListParagraph"/>
        <w:numPr>
          <w:ilvl w:val="0"/>
          <w:numId w:val="2"/>
        </w:numPr>
        <w:rPr>
          <w:rFonts w:ascii="Arial" w:hAnsi="Arial" w:cs="Arial"/>
        </w:rPr>
      </w:pPr>
      <w:r>
        <w:rPr>
          <w:rFonts w:ascii="Arial" w:hAnsi="Arial" w:cs="Arial"/>
        </w:rPr>
        <w:t>Gnomon p</w:t>
      </w:r>
      <w:r w:rsidR="00861510" w:rsidRPr="00EA7153">
        <w:rPr>
          <w:rFonts w:ascii="Arial" w:hAnsi="Arial" w:cs="Arial"/>
        </w:rPr>
        <w:t>redictions with high homology to transposable or retro-transposable elements are excluded from the final set of models</w:t>
      </w:r>
      <w:r w:rsidR="00906699">
        <w:rPr>
          <w:rFonts w:ascii="Arial" w:hAnsi="Arial" w:cs="Arial"/>
        </w:rPr>
        <w:t>.</w:t>
      </w:r>
    </w:p>
    <w:p w14:paraId="51AC4A32" w14:textId="77777777" w:rsidR="00861510" w:rsidRDefault="00861510" w:rsidP="00861510"/>
    <w:p w14:paraId="514FD928" w14:textId="74B15239" w:rsidR="00861510" w:rsidRDefault="00861510" w:rsidP="00861510">
      <w:pPr>
        <w:pStyle w:val="Heading5"/>
      </w:pPr>
      <w:r>
        <w:t>Integrating RefSeq and Gnomon annotations</w:t>
      </w:r>
    </w:p>
    <w:p w14:paraId="0A6FB8CE" w14:textId="0466A152" w:rsidR="0007517D" w:rsidRPr="00296E81" w:rsidRDefault="00384AC7" w:rsidP="0007517D">
      <w:r>
        <w:rPr>
          <w:rFonts w:cs="Arial"/>
        </w:rPr>
        <w:t xml:space="preserve">As a result of the model selection process, </w:t>
      </w:r>
      <w:r w:rsidR="00572CA4">
        <w:rPr>
          <w:rFonts w:cs="Arial"/>
        </w:rPr>
        <w:t>a</w:t>
      </w:r>
      <w:r w:rsidR="0007517D">
        <w:rPr>
          <w:rFonts w:cs="Arial"/>
        </w:rPr>
        <w:t xml:space="preserve"> gene</w:t>
      </w:r>
      <w:r>
        <w:rPr>
          <w:rFonts w:cs="Arial"/>
        </w:rPr>
        <w:t xml:space="preserve"> may be represented by multiple splice variants</w:t>
      </w:r>
      <w:r w:rsidR="0007517D">
        <w:rPr>
          <w:rFonts w:cs="Arial"/>
        </w:rPr>
        <w:t xml:space="preserve">, </w:t>
      </w:r>
      <w:r w:rsidR="004F0281">
        <w:rPr>
          <w:rFonts w:cs="Arial"/>
        </w:rPr>
        <w:t xml:space="preserve">with </w:t>
      </w:r>
      <w:r w:rsidR="0007517D">
        <w:rPr>
          <w:rFonts w:cs="Arial"/>
        </w:rPr>
        <w:t xml:space="preserve">some </w:t>
      </w:r>
      <w:r>
        <w:rPr>
          <w:rFonts w:cs="Arial"/>
        </w:rPr>
        <w:t xml:space="preserve">of them </w:t>
      </w:r>
      <w:r w:rsidR="0007517D">
        <w:rPr>
          <w:rFonts w:cs="Arial"/>
        </w:rPr>
        <w:t xml:space="preserve">known RefSeq </w:t>
      </w:r>
      <w:r w:rsidR="00AE2FC6">
        <w:rPr>
          <w:rFonts w:cs="Arial"/>
        </w:rPr>
        <w:t>and others</w:t>
      </w:r>
      <w:r w:rsidR="0007517D">
        <w:rPr>
          <w:rFonts w:cs="Arial"/>
        </w:rPr>
        <w:t xml:space="preserve"> </w:t>
      </w:r>
      <w:r w:rsidR="005612F3">
        <w:rPr>
          <w:rFonts w:cs="Arial"/>
        </w:rPr>
        <w:t>model RefSeq (</w:t>
      </w:r>
      <w:r w:rsidR="0007517D">
        <w:rPr>
          <w:rFonts w:cs="Arial"/>
        </w:rPr>
        <w:t>originating from Gnomon predictions</w:t>
      </w:r>
      <w:r w:rsidR="005612F3">
        <w:rPr>
          <w:rFonts w:cs="Arial"/>
        </w:rPr>
        <w:t>)</w:t>
      </w:r>
      <w:r w:rsidR="0007517D">
        <w:rPr>
          <w:rFonts w:cs="Arial"/>
        </w:rPr>
        <w:t>.</w:t>
      </w:r>
    </w:p>
    <w:p w14:paraId="102C4E7F" w14:textId="70477B9C" w:rsidR="00657DD4" w:rsidRPr="00C7541D" w:rsidRDefault="00334BC5" w:rsidP="00F32A8D">
      <w:pPr>
        <w:rPr>
          <w:rFonts w:cs="Arial"/>
        </w:rPr>
      </w:pPr>
      <w:r w:rsidRPr="00C7541D">
        <w:rPr>
          <w:rFonts w:cs="Arial"/>
        </w:rPr>
        <w:t>Gnomon predict</w:t>
      </w:r>
      <w:r>
        <w:rPr>
          <w:rFonts w:cs="Arial"/>
        </w:rPr>
        <w:t xml:space="preserve">ions </w:t>
      </w:r>
      <w:r w:rsidR="00384AC7">
        <w:rPr>
          <w:rFonts w:cs="Arial"/>
        </w:rPr>
        <w:t xml:space="preserve">selected for the final annotation set </w:t>
      </w:r>
      <w:r w:rsidR="00893E24" w:rsidRPr="00C7541D">
        <w:rPr>
          <w:rFonts w:cs="Arial"/>
        </w:rPr>
        <w:t xml:space="preserve">are assigned model RefSeq accessions with XM_ or XR_ prefixes for </w:t>
      </w:r>
      <w:r w:rsidR="007037D5">
        <w:rPr>
          <w:rFonts w:cs="Arial"/>
        </w:rPr>
        <w:t xml:space="preserve">protein-coding and non-coding </w:t>
      </w:r>
      <w:r w:rsidR="00893E24" w:rsidRPr="00C7541D">
        <w:rPr>
          <w:rFonts w:cs="Arial"/>
        </w:rPr>
        <w:t>transcripts</w:t>
      </w:r>
      <w:r w:rsidR="007037D5">
        <w:rPr>
          <w:rFonts w:cs="Arial"/>
        </w:rPr>
        <w:t>, respectively,</w:t>
      </w:r>
      <w:r w:rsidR="00893E24" w:rsidRPr="00C7541D">
        <w:rPr>
          <w:rFonts w:cs="Arial"/>
        </w:rPr>
        <w:t xml:space="preserve"> and XP_ prefixes for proteins to distinguish them from </w:t>
      </w:r>
      <w:r w:rsidR="0007517D">
        <w:rPr>
          <w:rFonts w:cs="Arial"/>
        </w:rPr>
        <w:t>known</w:t>
      </w:r>
      <w:r w:rsidR="00AE2FC6" w:rsidRPr="00C7541D">
        <w:rPr>
          <w:rFonts w:cs="Arial"/>
        </w:rPr>
        <w:t xml:space="preserve"> RefSeq </w:t>
      </w:r>
      <w:r w:rsidR="00893E24" w:rsidRPr="00C7541D">
        <w:rPr>
          <w:rFonts w:cs="Arial"/>
        </w:rPr>
        <w:t xml:space="preserve">with NM_/NR_ and NP_ prefixes. </w:t>
      </w:r>
      <w:r w:rsidR="00AE2FC6">
        <w:rPr>
          <w:rFonts w:cs="Arial"/>
        </w:rPr>
        <w:t>Model RefSeq</w:t>
      </w:r>
      <w:r w:rsidR="00893E24">
        <w:rPr>
          <w:rFonts w:cs="Arial"/>
        </w:rPr>
        <w:t xml:space="preserve"> can be searched in Entrez with the query “</w:t>
      </w:r>
      <w:r w:rsidR="00893E24" w:rsidRPr="00296E81">
        <w:rPr>
          <w:rFonts w:cs="Arial"/>
        </w:rPr>
        <w:t>srcdb_refseq_model[properties]”</w:t>
      </w:r>
      <w:r w:rsidR="00893E24">
        <w:rPr>
          <w:rFonts w:cs="Arial"/>
        </w:rPr>
        <w:t xml:space="preserve"> </w:t>
      </w:r>
      <w:r w:rsidR="00AE2FC6">
        <w:rPr>
          <w:rFonts w:cs="Arial"/>
        </w:rPr>
        <w:t>while</w:t>
      </w:r>
      <w:r w:rsidR="00893E24" w:rsidRPr="00296E81">
        <w:rPr>
          <w:rFonts w:cs="Arial"/>
        </w:rPr>
        <w:t xml:space="preserve"> </w:t>
      </w:r>
      <w:r w:rsidR="00893E24">
        <w:rPr>
          <w:rFonts w:cs="Arial"/>
        </w:rPr>
        <w:t xml:space="preserve">known </w:t>
      </w:r>
      <w:r w:rsidR="00893E24" w:rsidRPr="00296E81">
        <w:rPr>
          <w:rFonts w:cs="Arial"/>
        </w:rPr>
        <w:t xml:space="preserve">RefSeq </w:t>
      </w:r>
      <w:r w:rsidR="00893E24">
        <w:rPr>
          <w:rFonts w:cs="Arial"/>
        </w:rPr>
        <w:t>sequences</w:t>
      </w:r>
      <w:r w:rsidR="00AE2FC6">
        <w:rPr>
          <w:rFonts w:cs="Arial"/>
        </w:rPr>
        <w:t xml:space="preserve"> can be obtained</w:t>
      </w:r>
      <w:r w:rsidR="00893E24">
        <w:rPr>
          <w:rFonts w:cs="Arial"/>
        </w:rPr>
        <w:t xml:space="preserve"> with </w:t>
      </w:r>
      <w:r w:rsidR="005612F3">
        <w:rPr>
          <w:rFonts w:cs="Arial"/>
        </w:rPr>
        <w:t xml:space="preserve">the </w:t>
      </w:r>
      <w:r w:rsidR="00893E24">
        <w:rPr>
          <w:rFonts w:cs="Arial"/>
        </w:rPr>
        <w:t>query “</w:t>
      </w:r>
      <w:r w:rsidR="00893E24" w:rsidRPr="00296E81">
        <w:rPr>
          <w:rFonts w:cs="Arial"/>
        </w:rPr>
        <w:t>srcdb_refseq_</w:t>
      </w:r>
      <w:r w:rsidR="00893E24">
        <w:rPr>
          <w:rFonts w:cs="Arial"/>
        </w:rPr>
        <w:t>known</w:t>
      </w:r>
      <w:r w:rsidR="00893E24" w:rsidRPr="00296E81">
        <w:rPr>
          <w:rFonts w:cs="Arial"/>
        </w:rPr>
        <w:t>[properties]”.</w:t>
      </w:r>
    </w:p>
    <w:p w14:paraId="6B6C9C8C" w14:textId="77777777" w:rsidR="00572CA4" w:rsidRDefault="00572CA4" w:rsidP="004A225A">
      <w:pPr>
        <w:pStyle w:val="Heading4"/>
      </w:pPr>
    </w:p>
    <w:p w14:paraId="249BBEAB" w14:textId="50175A76" w:rsidR="008907CA" w:rsidRPr="004A225A" w:rsidRDefault="004A225A" w:rsidP="004A225A">
      <w:pPr>
        <w:pStyle w:val="Heading4"/>
      </w:pPr>
      <w:r>
        <w:t>Locus typing and p</w:t>
      </w:r>
      <w:r w:rsidR="00052E1F">
        <w:t>rotein</w:t>
      </w:r>
      <w:r w:rsidR="00861510">
        <w:t xml:space="preserve"> naming</w:t>
      </w:r>
    </w:p>
    <w:p w14:paraId="4D7748F9" w14:textId="2AF64E90" w:rsidR="00861510" w:rsidRDefault="00861510" w:rsidP="00861510">
      <w:pPr>
        <w:rPr>
          <w:rFonts w:cs="Arial"/>
        </w:rPr>
      </w:pPr>
      <w:r>
        <w:rPr>
          <w:rFonts w:cs="Arial"/>
        </w:rPr>
        <w:t xml:space="preserve">Genes are categorized into different locus types according to the type and quality of the model and </w:t>
      </w:r>
      <w:r w:rsidR="00F32A8D">
        <w:rPr>
          <w:rFonts w:cs="Arial"/>
        </w:rPr>
        <w:t xml:space="preserve">based on </w:t>
      </w:r>
      <w:r>
        <w:rPr>
          <w:rFonts w:cs="Arial"/>
        </w:rPr>
        <w:t xml:space="preserve">orthology information. </w:t>
      </w:r>
    </w:p>
    <w:p w14:paraId="743745B5" w14:textId="018367CB" w:rsidR="00861510" w:rsidRDefault="00F32A8D" w:rsidP="00861510">
      <w:pPr>
        <w:pStyle w:val="ListParagraph"/>
        <w:numPr>
          <w:ilvl w:val="0"/>
          <w:numId w:val="3"/>
        </w:numPr>
        <w:rPr>
          <w:rFonts w:ascii="Arial" w:hAnsi="Arial" w:cs="Arial"/>
        </w:rPr>
      </w:pPr>
      <w:r>
        <w:rPr>
          <w:rFonts w:ascii="Arial" w:hAnsi="Arial" w:cs="Arial"/>
        </w:rPr>
        <w:t xml:space="preserve">Known </w:t>
      </w:r>
      <w:r w:rsidR="00861510">
        <w:rPr>
          <w:rFonts w:ascii="Arial" w:hAnsi="Arial" w:cs="Arial"/>
        </w:rPr>
        <w:t xml:space="preserve">RefSeq </w:t>
      </w:r>
      <w:r w:rsidR="004A225A">
        <w:rPr>
          <w:rFonts w:ascii="Arial" w:hAnsi="Arial" w:cs="Arial"/>
        </w:rPr>
        <w:t>features</w:t>
      </w:r>
      <w:r w:rsidR="00861510">
        <w:rPr>
          <w:rFonts w:ascii="Arial" w:hAnsi="Arial" w:cs="Arial"/>
        </w:rPr>
        <w:t xml:space="preserve"> are annotated according to their locus type (e.g.</w:t>
      </w:r>
      <w:r w:rsidR="00906699">
        <w:rPr>
          <w:rFonts w:ascii="Arial" w:hAnsi="Arial" w:cs="Arial"/>
        </w:rPr>
        <w:t>,</w:t>
      </w:r>
      <w:r w:rsidR="00861510">
        <w:rPr>
          <w:rFonts w:ascii="Arial" w:hAnsi="Arial" w:cs="Arial"/>
        </w:rPr>
        <w:t xml:space="preserve"> protein-coding vs. pseudogene) established before the annotation run</w:t>
      </w:r>
      <w:r w:rsidR="00906699">
        <w:rPr>
          <w:rFonts w:ascii="Arial" w:hAnsi="Arial" w:cs="Arial"/>
        </w:rPr>
        <w:t>.</w:t>
      </w:r>
    </w:p>
    <w:p w14:paraId="077A1503" w14:textId="6DDB0F81" w:rsidR="00861510" w:rsidRDefault="00861510" w:rsidP="00861510">
      <w:pPr>
        <w:pStyle w:val="ListParagraph"/>
        <w:numPr>
          <w:ilvl w:val="0"/>
          <w:numId w:val="3"/>
        </w:numPr>
        <w:rPr>
          <w:rFonts w:ascii="Arial" w:hAnsi="Arial" w:cs="Arial"/>
        </w:rPr>
      </w:pPr>
      <w:r w:rsidRPr="003F41EA">
        <w:rPr>
          <w:rFonts w:ascii="Arial" w:hAnsi="Arial" w:cs="Arial"/>
        </w:rPr>
        <w:t xml:space="preserve">Most </w:t>
      </w:r>
      <w:r w:rsidR="00334BC5">
        <w:rPr>
          <w:rFonts w:ascii="Arial" w:hAnsi="Arial" w:cs="Arial"/>
        </w:rPr>
        <w:t>Gnomon</w:t>
      </w:r>
      <w:r w:rsidRPr="003F41EA">
        <w:rPr>
          <w:rFonts w:ascii="Arial" w:hAnsi="Arial" w:cs="Arial"/>
        </w:rPr>
        <w:t xml:space="preserve"> models with insertions, deletions</w:t>
      </w:r>
      <w:r w:rsidR="00906699">
        <w:rPr>
          <w:rFonts w:ascii="Arial" w:hAnsi="Arial" w:cs="Arial"/>
        </w:rPr>
        <w:t>,</w:t>
      </w:r>
      <w:r w:rsidRPr="003F41EA">
        <w:rPr>
          <w:rFonts w:ascii="Arial" w:hAnsi="Arial" w:cs="Arial"/>
        </w:rPr>
        <w:t xml:space="preserve"> or frameshifts are labeled as pseudogenes and annotated without a CDS feature or protein product</w:t>
      </w:r>
      <w:r w:rsidR="00906699">
        <w:rPr>
          <w:rFonts w:ascii="Arial" w:hAnsi="Arial" w:cs="Arial"/>
        </w:rPr>
        <w:t>.</w:t>
      </w:r>
    </w:p>
    <w:p w14:paraId="7184C910" w14:textId="07EEC58F" w:rsidR="00861510" w:rsidRDefault="004A225A" w:rsidP="00861510">
      <w:pPr>
        <w:pStyle w:val="ListParagraph"/>
        <w:numPr>
          <w:ilvl w:val="0"/>
          <w:numId w:val="3"/>
        </w:numPr>
        <w:rPr>
          <w:rFonts w:ascii="Arial" w:hAnsi="Arial" w:cs="Arial"/>
        </w:rPr>
      </w:pPr>
      <w:r>
        <w:rPr>
          <w:rFonts w:ascii="Arial" w:hAnsi="Arial" w:cs="Arial"/>
        </w:rPr>
        <w:t>Gnomon</w:t>
      </w:r>
      <w:r w:rsidR="00861510">
        <w:rPr>
          <w:rFonts w:ascii="Arial" w:hAnsi="Arial" w:cs="Arial"/>
        </w:rPr>
        <w:t xml:space="preserve"> m</w:t>
      </w:r>
      <w:r w:rsidR="00861510" w:rsidRPr="003F41EA">
        <w:rPr>
          <w:rFonts w:ascii="Arial" w:hAnsi="Arial" w:cs="Arial"/>
        </w:rPr>
        <w:t>odels that appear to be single-exon retrocopies of protein-coding genes may also be annotated as pseudogenes</w:t>
      </w:r>
      <w:r w:rsidR="00906699">
        <w:rPr>
          <w:rFonts w:ascii="Arial" w:hAnsi="Arial" w:cs="Arial"/>
        </w:rPr>
        <w:t>.</w:t>
      </w:r>
    </w:p>
    <w:p w14:paraId="0E2254C4" w14:textId="223243A0" w:rsidR="00861510" w:rsidRDefault="004A225A" w:rsidP="00861510">
      <w:pPr>
        <w:pStyle w:val="ListParagraph"/>
        <w:numPr>
          <w:ilvl w:val="0"/>
          <w:numId w:val="3"/>
        </w:numPr>
        <w:rPr>
          <w:rFonts w:ascii="Arial" w:hAnsi="Arial" w:cs="Arial"/>
        </w:rPr>
      </w:pPr>
      <w:r>
        <w:rPr>
          <w:rFonts w:ascii="Arial" w:hAnsi="Arial" w:cs="Arial"/>
        </w:rPr>
        <w:t>Gnomon</w:t>
      </w:r>
      <w:r w:rsidR="00861510" w:rsidRPr="003F41EA">
        <w:rPr>
          <w:rFonts w:ascii="Arial" w:hAnsi="Arial" w:cs="Arial"/>
        </w:rPr>
        <w:t xml:space="preserve"> models with insertions, deletions</w:t>
      </w:r>
      <w:r w:rsidR="00906699">
        <w:rPr>
          <w:rFonts w:ascii="Arial" w:hAnsi="Arial" w:cs="Arial"/>
        </w:rPr>
        <w:t>,</w:t>
      </w:r>
      <w:r w:rsidR="00861510" w:rsidRPr="003F41EA">
        <w:rPr>
          <w:rFonts w:ascii="Arial" w:hAnsi="Arial" w:cs="Arial"/>
        </w:rPr>
        <w:t xml:space="preserve"> or frameshifts may be considered coding if they have a strong unique hit to the SwissProt database or appear to be orthologs of known protein-coding genes. Titles for these models are prefixed with “PREDICTED: LOW QUALITY PROTEIN</w:t>
      </w:r>
      <w:r w:rsidR="00906699">
        <w:rPr>
          <w:rFonts w:ascii="Arial" w:hAnsi="Arial" w:cs="Arial"/>
        </w:rPr>
        <w:t>.</w:t>
      </w:r>
      <w:r w:rsidR="00861510" w:rsidRPr="003F41EA">
        <w:rPr>
          <w:rFonts w:ascii="Arial" w:hAnsi="Arial" w:cs="Arial"/>
        </w:rPr>
        <w:t xml:space="preserve">” There may be defects in the assembly and/or </w:t>
      </w:r>
      <w:r w:rsidR="003774A4">
        <w:rPr>
          <w:rFonts w:ascii="Arial" w:hAnsi="Arial" w:cs="Arial"/>
        </w:rPr>
        <w:t xml:space="preserve">the </w:t>
      </w:r>
      <w:r w:rsidR="00861510" w:rsidRPr="003F41EA">
        <w:rPr>
          <w:rFonts w:ascii="Arial" w:hAnsi="Arial" w:cs="Arial"/>
        </w:rPr>
        <w:t>model in these cases</w:t>
      </w:r>
      <w:r w:rsidR="00906699">
        <w:rPr>
          <w:rFonts w:ascii="Arial" w:hAnsi="Arial" w:cs="Arial"/>
        </w:rPr>
        <w:t>.</w:t>
      </w:r>
    </w:p>
    <w:p w14:paraId="561A90AF" w14:textId="32FE74D1" w:rsidR="00861510" w:rsidRDefault="00861510" w:rsidP="00861510">
      <w:pPr>
        <w:pStyle w:val="ListParagraph"/>
        <w:numPr>
          <w:ilvl w:val="0"/>
          <w:numId w:val="3"/>
        </w:numPr>
        <w:rPr>
          <w:rFonts w:ascii="Arial" w:hAnsi="Arial" w:cs="Arial"/>
        </w:rPr>
      </w:pPr>
      <w:r>
        <w:rPr>
          <w:rFonts w:ascii="Arial" w:hAnsi="Arial" w:cs="Arial"/>
        </w:rPr>
        <w:t>Gnomon models that</w:t>
      </w:r>
      <w:r w:rsidR="00775CB6">
        <w:rPr>
          <w:rFonts w:ascii="Arial" w:hAnsi="Arial" w:cs="Arial"/>
        </w:rPr>
        <w:t xml:space="preserve"> have no predicted CDS or</w:t>
      </w:r>
      <w:r>
        <w:rPr>
          <w:rFonts w:ascii="Arial" w:hAnsi="Arial" w:cs="Arial"/>
        </w:rPr>
        <w:t xml:space="preserve"> a short CDS with no supporting alignments may be annotated as non-coding models or removed from the annotation</w:t>
      </w:r>
      <w:r w:rsidR="00906699">
        <w:rPr>
          <w:rFonts w:ascii="Arial" w:hAnsi="Arial" w:cs="Arial"/>
        </w:rPr>
        <w:t>.</w:t>
      </w:r>
    </w:p>
    <w:p w14:paraId="542D6D3A" w14:textId="66D4530F" w:rsidR="00861510" w:rsidRPr="004B4533" w:rsidRDefault="00861510" w:rsidP="00861510">
      <w:pPr>
        <w:pStyle w:val="ListParagraph"/>
        <w:numPr>
          <w:ilvl w:val="0"/>
          <w:numId w:val="3"/>
        </w:numPr>
        <w:rPr>
          <w:rFonts w:cs="Arial"/>
        </w:rPr>
      </w:pPr>
      <w:r w:rsidRPr="007D23F7">
        <w:rPr>
          <w:rFonts w:ascii="Arial" w:hAnsi="Arial" w:cs="Arial"/>
        </w:rPr>
        <w:t>When multiple assemblies are annotated, a partial or imperfect model may be called coding because a complete model exists at the corresponding locus on one of the other annotated assemblies</w:t>
      </w:r>
      <w:r w:rsidR="00906699">
        <w:rPr>
          <w:rFonts w:ascii="Arial" w:hAnsi="Arial" w:cs="Arial"/>
        </w:rPr>
        <w:t>.</w:t>
      </w:r>
    </w:p>
    <w:p w14:paraId="6DC43A3C" w14:textId="77777777" w:rsidR="00861510" w:rsidRDefault="00861510" w:rsidP="00861510">
      <w:pPr>
        <w:rPr>
          <w:rFonts w:cs="Arial"/>
        </w:rPr>
      </w:pPr>
    </w:p>
    <w:p w14:paraId="1760EFE5" w14:textId="7A835E2E" w:rsidR="00DE4EBB" w:rsidRDefault="00861510" w:rsidP="00861510">
      <w:pPr>
        <w:rPr>
          <w:rStyle w:val="st"/>
        </w:rPr>
      </w:pPr>
      <w:r>
        <w:rPr>
          <w:rFonts w:cs="Arial"/>
        </w:rPr>
        <w:t>Gene</w:t>
      </w:r>
      <w:r w:rsidR="004A225A">
        <w:rPr>
          <w:rFonts w:cs="Arial"/>
        </w:rPr>
        <w:t xml:space="preserve"> and protein</w:t>
      </w:r>
      <w:r>
        <w:rPr>
          <w:rFonts w:cs="Arial"/>
        </w:rPr>
        <w:t xml:space="preserve"> names are assigned based on the locus type, protein homology</w:t>
      </w:r>
      <w:r w:rsidR="00906699">
        <w:rPr>
          <w:rFonts w:cs="Arial"/>
        </w:rPr>
        <w:t>,</w:t>
      </w:r>
      <w:r>
        <w:rPr>
          <w:rFonts w:cs="Arial"/>
        </w:rPr>
        <w:t xml:space="preserve"> and orthology information, and data from the </w:t>
      </w:r>
      <w:hyperlink r:id="rId28" w:tgtFrame="_blank" w:history="1">
        <w:r w:rsidR="004A225A">
          <w:rPr>
            <w:rStyle w:val="Hyperlink"/>
          </w:rPr>
          <w:t>Gene</w:t>
        </w:r>
      </w:hyperlink>
      <w:r>
        <w:rPr>
          <w:rFonts w:cs="Arial"/>
        </w:rPr>
        <w:t xml:space="preserve"> database, which may in turn be based on nomenclature from an external group such as the </w:t>
      </w:r>
      <w:r>
        <w:rPr>
          <w:rStyle w:val="st"/>
        </w:rPr>
        <w:t xml:space="preserve">HUGO Gene Nomenclature Committee </w:t>
      </w:r>
      <w:r>
        <w:rPr>
          <w:rStyle w:val="st"/>
        </w:rPr>
        <w:lastRenderedPageBreak/>
        <w:t xml:space="preserve">(HGNC). Predicted genes are evaluated for orthology to genes in a reference species using a pairwise comparison process based on protein alignments and local synteny information. </w:t>
      </w:r>
    </w:p>
    <w:p w14:paraId="35416BB0" w14:textId="1CC114F5" w:rsidR="00DE4EBB" w:rsidRPr="00DE4EBB" w:rsidRDefault="00861510" w:rsidP="00DE4EBB">
      <w:pPr>
        <w:pStyle w:val="ListParagraph"/>
        <w:numPr>
          <w:ilvl w:val="0"/>
          <w:numId w:val="17"/>
        </w:numPr>
        <w:rPr>
          <w:rStyle w:val="st"/>
          <w:rFonts w:ascii="Arial" w:hAnsi="Arial" w:cs="Arial"/>
        </w:rPr>
      </w:pPr>
      <w:r w:rsidRPr="00DE4EBB">
        <w:rPr>
          <w:rStyle w:val="st"/>
          <w:rFonts w:ascii="Arial" w:hAnsi="Arial" w:cs="Arial"/>
        </w:rPr>
        <w:t xml:space="preserve">If a likely ortholog can be determined, the gene symbol and name is transferred from the </w:t>
      </w:r>
      <w:r w:rsidR="00306A11">
        <w:rPr>
          <w:rStyle w:val="st"/>
          <w:rFonts w:ascii="Arial" w:hAnsi="Arial" w:cs="Arial"/>
        </w:rPr>
        <w:t>reference species, if applicable</w:t>
      </w:r>
      <w:r w:rsidR="00906699">
        <w:rPr>
          <w:rStyle w:val="st"/>
          <w:rFonts w:ascii="Arial" w:hAnsi="Arial" w:cs="Arial"/>
        </w:rPr>
        <w:t>.</w:t>
      </w:r>
      <w:r w:rsidRPr="00DE4EBB">
        <w:rPr>
          <w:rStyle w:val="st"/>
          <w:rFonts w:ascii="Arial" w:hAnsi="Arial" w:cs="Arial"/>
        </w:rPr>
        <w:t xml:space="preserve"> </w:t>
      </w:r>
    </w:p>
    <w:p w14:paraId="3950FD97" w14:textId="364DB36D" w:rsidR="00DE4EBB" w:rsidRPr="00DE4EBB" w:rsidRDefault="00861510" w:rsidP="00DE4EBB">
      <w:pPr>
        <w:pStyle w:val="ListParagraph"/>
        <w:numPr>
          <w:ilvl w:val="0"/>
          <w:numId w:val="17"/>
        </w:numPr>
        <w:rPr>
          <w:rStyle w:val="st"/>
          <w:rFonts w:ascii="Arial" w:hAnsi="Arial" w:cs="Arial"/>
        </w:rPr>
      </w:pPr>
      <w:r w:rsidRPr="00DE4EBB">
        <w:rPr>
          <w:rStyle w:val="st"/>
          <w:rFonts w:ascii="Arial" w:hAnsi="Arial" w:cs="Arial"/>
        </w:rPr>
        <w:t>If an ortholog cannot be determined, predicted genes are named based on the name of the most similar SwissProt protein, adding the suffix ‘-like’ to indicate the pu</w:t>
      </w:r>
      <w:r w:rsidR="00306A11">
        <w:rPr>
          <w:rStyle w:val="st"/>
          <w:rFonts w:ascii="Arial" w:hAnsi="Arial" w:cs="Arial"/>
        </w:rPr>
        <w:t>tative nature of the assignment</w:t>
      </w:r>
      <w:r w:rsidR="00906699">
        <w:rPr>
          <w:rStyle w:val="st"/>
          <w:rFonts w:ascii="Arial" w:hAnsi="Arial" w:cs="Arial"/>
        </w:rPr>
        <w:t>.</w:t>
      </w:r>
      <w:r w:rsidRPr="00DE4EBB">
        <w:rPr>
          <w:rStyle w:val="st"/>
          <w:rFonts w:ascii="Arial" w:hAnsi="Arial" w:cs="Arial"/>
        </w:rPr>
        <w:t xml:space="preserve"> </w:t>
      </w:r>
    </w:p>
    <w:p w14:paraId="3A042E76" w14:textId="5D4E5FE1" w:rsidR="00861510" w:rsidRPr="00DE4EBB" w:rsidRDefault="00861510" w:rsidP="00DE4EBB">
      <w:pPr>
        <w:pStyle w:val="ListParagraph"/>
        <w:numPr>
          <w:ilvl w:val="0"/>
          <w:numId w:val="17"/>
        </w:numPr>
        <w:rPr>
          <w:rStyle w:val="st"/>
          <w:rFonts w:ascii="Arial" w:hAnsi="Arial" w:cs="Arial"/>
        </w:rPr>
      </w:pPr>
      <w:r w:rsidRPr="00DE4EBB">
        <w:rPr>
          <w:rStyle w:val="st"/>
          <w:rFonts w:ascii="Arial" w:hAnsi="Arial" w:cs="Arial"/>
        </w:rPr>
        <w:t xml:space="preserve">Predicted genes for which no name can be determined are assigned a generic gene </w:t>
      </w:r>
      <w:r w:rsidR="004F0281" w:rsidRPr="00DE4EBB">
        <w:rPr>
          <w:rStyle w:val="st"/>
          <w:rFonts w:ascii="Arial" w:hAnsi="Arial" w:cs="Arial"/>
        </w:rPr>
        <w:t xml:space="preserve">and protein </w:t>
      </w:r>
      <w:r w:rsidRPr="00DE4EBB">
        <w:rPr>
          <w:rStyle w:val="st"/>
          <w:rFonts w:ascii="Arial" w:hAnsi="Arial" w:cs="Arial"/>
        </w:rPr>
        <w:t xml:space="preserve">name of the form </w:t>
      </w:r>
      <w:r w:rsidR="00906699">
        <w:rPr>
          <w:rStyle w:val="st"/>
          <w:rFonts w:ascii="Arial" w:hAnsi="Arial" w:cs="Arial"/>
        </w:rPr>
        <w:t>“</w:t>
      </w:r>
      <w:r w:rsidRPr="00DE4EBB">
        <w:rPr>
          <w:rStyle w:val="st"/>
          <w:rFonts w:ascii="Arial" w:hAnsi="Arial" w:cs="Arial"/>
        </w:rPr>
        <w:t>uncha</w:t>
      </w:r>
      <w:r w:rsidR="00306A11">
        <w:rPr>
          <w:rStyle w:val="st"/>
          <w:rFonts w:ascii="Arial" w:hAnsi="Arial" w:cs="Arial"/>
        </w:rPr>
        <w:t>racterized LOC</w:t>
      </w:r>
      <w:r w:rsidR="00906699">
        <w:rPr>
          <w:rStyle w:val="st"/>
          <w:rFonts w:ascii="Arial" w:hAnsi="Arial" w:cs="Arial"/>
        </w:rPr>
        <w:t>”</w:t>
      </w:r>
      <w:r w:rsidR="00306A11">
        <w:rPr>
          <w:rStyle w:val="st"/>
          <w:rFonts w:ascii="Arial" w:hAnsi="Arial" w:cs="Arial"/>
        </w:rPr>
        <w:t xml:space="preserve"> plus the GeneID</w:t>
      </w:r>
      <w:r w:rsidR="00906699">
        <w:rPr>
          <w:rStyle w:val="st"/>
          <w:rFonts w:ascii="Arial" w:hAnsi="Arial" w:cs="Arial"/>
        </w:rPr>
        <w:t>.</w:t>
      </w:r>
    </w:p>
    <w:p w14:paraId="745B8C78" w14:textId="77777777" w:rsidR="005C206A" w:rsidRPr="005C206A" w:rsidRDefault="005C206A" w:rsidP="005C206A"/>
    <w:p w14:paraId="169049BF" w14:textId="70F64D59" w:rsidR="00F557BE" w:rsidRDefault="00F557BE" w:rsidP="009D01F9">
      <w:pPr>
        <w:pStyle w:val="Heading4"/>
        <w:rPr>
          <w:color w:val="1F497D" w:themeColor="text2"/>
        </w:rPr>
      </w:pPr>
      <w:r w:rsidRPr="00FC6D96">
        <w:t xml:space="preserve">Assignment of </w:t>
      </w:r>
      <w:r w:rsidRPr="009D01F9">
        <w:t>GeneIDs</w:t>
      </w:r>
    </w:p>
    <w:p w14:paraId="53CE7842" w14:textId="7C09EC61" w:rsidR="00432680" w:rsidRDefault="00432680" w:rsidP="00775CB6">
      <w:pPr>
        <w:spacing w:before="100" w:beforeAutospacing="1" w:after="100" w:afterAutospacing="1"/>
      </w:pPr>
      <w:r>
        <w:t xml:space="preserve">Genes in the final set of models are assigned GeneIDs in </w:t>
      </w:r>
      <w:r w:rsidR="004A225A">
        <w:t xml:space="preserve">the </w:t>
      </w:r>
      <w:hyperlink r:id="rId29" w:tgtFrame="_blank" w:history="1">
        <w:r>
          <w:rPr>
            <w:rStyle w:val="Hyperlink"/>
          </w:rPr>
          <w:t>Gene</w:t>
        </w:r>
      </w:hyperlink>
      <w:r>
        <w:t xml:space="preserve"> database.</w:t>
      </w:r>
    </w:p>
    <w:p w14:paraId="1A38F62C" w14:textId="2BA7C611" w:rsidR="00432680" w:rsidRDefault="00432680" w:rsidP="00B5779D">
      <w:pPr>
        <w:numPr>
          <w:ilvl w:val="0"/>
          <w:numId w:val="6"/>
        </w:numPr>
        <w:spacing w:before="100" w:beforeAutospacing="1" w:after="100" w:afterAutospacing="1"/>
      </w:pPr>
      <w:r>
        <w:t>A gene represented by a</w:t>
      </w:r>
      <w:r w:rsidR="00775CB6">
        <w:t>t least one</w:t>
      </w:r>
      <w:r>
        <w:t xml:space="preserve"> </w:t>
      </w:r>
      <w:r w:rsidR="004A225A">
        <w:t xml:space="preserve">known </w:t>
      </w:r>
      <w:hyperlink r:id="rId30" w:tgtFrame="_blank" w:history="1">
        <w:r>
          <w:rPr>
            <w:rStyle w:val="Hyperlink"/>
          </w:rPr>
          <w:t>RefSeq</w:t>
        </w:r>
      </w:hyperlink>
      <w:r>
        <w:t xml:space="preserve"> transcript </w:t>
      </w:r>
      <w:r w:rsidR="00B5779D">
        <w:t>receives</w:t>
      </w:r>
      <w:r>
        <w:t xml:space="preserve"> the GeneID of the </w:t>
      </w:r>
      <w:hyperlink r:id="rId31" w:tgtFrame="_blank" w:history="1">
        <w:r>
          <w:rPr>
            <w:rStyle w:val="Hyperlink"/>
          </w:rPr>
          <w:t>RefSeq</w:t>
        </w:r>
      </w:hyperlink>
      <w:r w:rsidR="004A225A">
        <w:t xml:space="preserve"> </w:t>
      </w:r>
      <w:r w:rsidR="00B5779D">
        <w:t>transcript</w:t>
      </w:r>
      <w:r w:rsidR="00775CB6">
        <w:t>(s)</w:t>
      </w:r>
      <w:r w:rsidR="00906699">
        <w:t>.</w:t>
      </w:r>
    </w:p>
    <w:p w14:paraId="22319918" w14:textId="22C12C1B" w:rsidR="00775CB6" w:rsidRDefault="00775CB6" w:rsidP="00B5779D">
      <w:pPr>
        <w:numPr>
          <w:ilvl w:val="0"/>
          <w:numId w:val="6"/>
        </w:numPr>
        <w:spacing w:before="100" w:beforeAutospacing="1" w:after="100" w:afterAutospacing="1"/>
      </w:pPr>
      <w:r>
        <w:t xml:space="preserve">Genes mapped from a previous annotation (see </w:t>
      </w:r>
      <w:hyperlink w:anchor="_Re-annotation" w:history="1">
        <w:r w:rsidRPr="00906699">
          <w:rPr>
            <w:rStyle w:val="Hyperlink"/>
          </w:rPr>
          <w:t>Re-annotation</w:t>
        </w:r>
      </w:hyperlink>
      <w:r>
        <w:t xml:space="preserve"> below) are assigned the same GeneIDs as in the  previous annotation</w:t>
      </w:r>
      <w:r w:rsidR="00906699">
        <w:t>.</w:t>
      </w:r>
    </w:p>
    <w:p w14:paraId="5E0A1895" w14:textId="622F428C" w:rsidR="00775CB6" w:rsidRDefault="00775CB6" w:rsidP="00272A30">
      <w:pPr>
        <w:numPr>
          <w:ilvl w:val="0"/>
          <w:numId w:val="6"/>
        </w:numPr>
        <w:spacing w:before="100" w:beforeAutospacing="1" w:after="100" w:afterAutospacing="1"/>
      </w:pPr>
      <w:r>
        <w:t>Genes that are not mapped from a previous annotation and genes that are represented by Gnomon models only are assigned new GeneIDs.</w:t>
      </w:r>
    </w:p>
    <w:p w14:paraId="7F09A979" w14:textId="4D9CA229" w:rsidR="00432680" w:rsidRDefault="00775CB6" w:rsidP="00272A30">
      <w:pPr>
        <w:numPr>
          <w:ilvl w:val="0"/>
          <w:numId w:val="6"/>
        </w:numPr>
        <w:spacing w:before="100" w:beforeAutospacing="1" w:after="100" w:afterAutospacing="1"/>
      </w:pPr>
      <w:r>
        <w:t>Genes mapped</w:t>
      </w:r>
      <w:r w:rsidR="00432680">
        <w:t xml:space="preserve"> </w:t>
      </w:r>
      <w:r w:rsidR="005E10E7">
        <w:t xml:space="preserve">to equivalent </w:t>
      </w:r>
      <w:r w:rsidR="00432680">
        <w:t>loc</w:t>
      </w:r>
      <w:r w:rsidR="00B5779D">
        <w:t>ation</w:t>
      </w:r>
      <w:r w:rsidR="005E10E7">
        <w:t>s</w:t>
      </w:r>
      <w:r w:rsidR="00432680">
        <w:t xml:space="preserve"> </w:t>
      </w:r>
      <w:r w:rsidR="005E10E7">
        <w:t>on</w:t>
      </w:r>
      <w:r w:rsidR="00432680">
        <w:t xml:space="preserve"> </w:t>
      </w:r>
      <w:r w:rsidR="00432680" w:rsidRPr="00B5779D">
        <w:t>co-annotated assemblies</w:t>
      </w:r>
      <w:r w:rsidR="00432680">
        <w:t xml:space="preserve"> are assigned the same GeneIDs</w:t>
      </w:r>
      <w:r>
        <w:t xml:space="preserve"> (see </w:t>
      </w:r>
      <w:hyperlink w:anchor="_Annotation_of_multiple" w:history="1">
        <w:r w:rsidRPr="00906699">
          <w:rPr>
            <w:rStyle w:val="Hyperlink"/>
          </w:rPr>
          <w:t>Annotation of multiple assemblies</w:t>
        </w:r>
      </w:hyperlink>
      <w:r w:rsidR="00906699">
        <w:t>).</w:t>
      </w:r>
    </w:p>
    <w:p w14:paraId="511BE11D" w14:textId="3597FD76" w:rsidR="00726A47" w:rsidRDefault="009D01F9" w:rsidP="00726A47">
      <w:pPr>
        <w:pStyle w:val="Heading4"/>
      </w:pPr>
      <w:r>
        <w:t>Packaging of the annotation</w:t>
      </w:r>
    </w:p>
    <w:p w14:paraId="19BB95BC" w14:textId="146A0BBA" w:rsidR="00E10DA3" w:rsidRDefault="00726A47" w:rsidP="00E10DA3">
      <w:r>
        <w:t xml:space="preserve">The </w:t>
      </w:r>
      <w:r w:rsidR="00E10DA3">
        <w:t>output</w:t>
      </w:r>
      <w:r>
        <w:t xml:space="preserve"> of the annotation pipeline</w:t>
      </w:r>
      <w:r w:rsidR="00EE5A3F">
        <w:t xml:space="preserve"> </w:t>
      </w:r>
      <w:r w:rsidR="00E10DA3">
        <w:t>is labelled with an Annotation Release number</w:t>
      </w:r>
      <w:r>
        <w:t>.</w:t>
      </w:r>
      <w:r w:rsidR="00E10DA3">
        <w:t xml:space="preserve"> For a given annotation, the combination of organism and Annotation Release number (e.g.</w:t>
      </w:r>
      <w:r w:rsidR="00906699">
        <w:t>,</w:t>
      </w:r>
      <w:r w:rsidR="00E10DA3">
        <w:t xml:space="preserve"> </w:t>
      </w:r>
      <w:r w:rsidR="003C7E29">
        <w:t xml:space="preserve">NCBI </w:t>
      </w:r>
      <w:r w:rsidR="00E10DA3" w:rsidRPr="00726A47">
        <w:t>Homo sapiens Annotation Release 10</w:t>
      </w:r>
      <w:r w:rsidR="00EE5A3F">
        <w:t>5</w:t>
      </w:r>
      <w:r w:rsidR="00E10DA3">
        <w:t>) is used throughout NCBI as a way to</w:t>
      </w:r>
      <w:r w:rsidR="00EE5A3F">
        <w:t xml:space="preserve"> uniquely </w:t>
      </w:r>
      <w:r w:rsidR="00E10DA3">
        <w:t>identify annotation products originating from the same annotation run.</w:t>
      </w:r>
    </w:p>
    <w:p w14:paraId="592244AA" w14:textId="77777777" w:rsidR="00EE5A3F" w:rsidRDefault="00EE5A3F" w:rsidP="00E10DA3"/>
    <w:p w14:paraId="792D2049" w14:textId="0D05D165" w:rsidR="00442A6D" w:rsidRDefault="00EE5A3F" w:rsidP="00442A6D">
      <w:r>
        <w:t xml:space="preserve">The annotation pipeline output is composed of </w:t>
      </w:r>
      <w:r w:rsidRPr="00726A47">
        <w:t xml:space="preserve">the scaffolds and the chromosomes of the assembled genome(s) </w:t>
      </w:r>
      <w:r w:rsidR="005E10E7">
        <w:t xml:space="preserve">annotated with the genes, RNAs and proteins </w:t>
      </w:r>
      <w:r w:rsidRPr="00726A47">
        <w:t>as features</w:t>
      </w:r>
      <w:r w:rsidR="005E10E7">
        <w:t>,</w:t>
      </w:r>
      <w:r w:rsidRPr="00726A47">
        <w:t xml:space="preserve"> and </w:t>
      </w:r>
      <w:r w:rsidR="005E10E7">
        <w:t xml:space="preserve">also </w:t>
      </w:r>
      <w:r w:rsidRPr="00726A47">
        <w:t xml:space="preserve">the </w:t>
      </w:r>
      <w:r w:rsidR="005E10E7">
        <w:t>RNAs and proteins</w:t>
      </w:r>
      <w:r w:rsidRPr="00726A47">
        <w:t xml:space="preserve"> themselves</w:t>
      </w:r>
      <w:r>
        <w:t xml:space="preserve">. </w:t>
      </w:r>
      <w:r w:rsidR="00726A47">
        <w:t xml:space="preserve">The </w:t>
      </w:r>
      <w:r w:rsidR="00FA23B4">
        <w:t xml:space="preserve">RefSeq </w:t>
      </w:r>
      <w:r w:rsidR="00726A47">
        <w:t xml:space="preserve">scaffolds and </w:t>
      </w:r>
      <w:r w:rsidR="00FA23B4">
        <w:t>chromosomes</w:t>
      </w:r>
      <w:r w:rsidR="00726A47">
        <w:t xml:space="preserve"> are assigned accessions with NW_ or NT_ and NC_ prefixes and submitted to the </w:t>
      </w:r>
      <w:r w:rsidR="00DF5B37">
        <w:t>N</w:t>
      </w:r>
      <w:r w:rsidR="00726A47">
        <w:t xml:space="preserve">ucleotide database with the </w:t>
      </w:r>
      <w:r w:rsidR="005E10E7">
        <w:t xml:space="preserve">features </w:t>
      </w:r>
      <w:r w:rsidR="00726A47">
        <w:t xml:space="preserve">annotated. </w:t>
      </w:r>
      <w:r w:rsidR="00442A6D">
        <w:t xml:space="preserve">Sequences submitted to the sequence databases are labelled with the Annotation Release (Figure </w:t>
      </w:r>
      <w:r>
        <w:t>5</w:t>
      </w:r>
      <w:r w:rsidR="00442A6D">
        <w:t xml:space="preserve">). </w:t>
      </w:r>
    </w:p>
    <w:p w14:paraId="3FE55781" w14:textId="77777777" w:rsidR="00726A47" w:rsidRDefault="00726A47" w:rsidP="00726A47"/>
    <w:p w14:paraId="6612A4A5" w14:textId="77777777" w:rsidR="00726A47" w:rsidRDefault="00726A47" w:rsidP="00726A47"/>
    <w:p w14:paraId="74433963" w14:textId="585AA366" w:rsidR="00726A47" w:rsidRDefault="00442A6D" w:rsidP="00726A47">
      <w:r w:rsidRPr="00442A6D">
        <w:t xml:space="preserve">The annotated products may include </w:t>
      </w:r>
      <w:r w:rsidR="003C7E29">
        <w:t xml:space="preserve">known </w:t>
      </w:r>
      <w:r w:rsidRPr="00442A6D">
        <w:t xml:space="preserve">RefSeq </w:t>
      </w:r>
      <w:r w:rsidR="003C7E29">
        <w:t xml:space="preserve">transcripts and proteins, </w:t>
      </w:r>
      <w:r w:rsidRPr="00442A6D">
        <w:t xml:space="preserve">Gnomon-predicted models and tRNA genes that were predicted by tRNAscan-SE. The </w:t>
      </w:r>
      <w:r w:rsidR="009E4101">
        <w:t xml:space="preserve">Gnomon </w:t>
      </w:r>
      <w:r w:rsidRPr="00442A6D">
        <w:t xml:space="preserve">models that were retained by the best model selection process are submitted to the </w:t>
      </w:r>
      <w:r w:rsidR="00DF5B37">
        <w:t>N</w:t>
      </w:r>
      <w:r w:rsidRPr="00442A6D">
        <w:t xml:space="preserve">ucleotide, </w:t>
      </w:r>
      <w:r w:rsidR="00DF5B37">
        <w:t>P</w:t>
      </w:r>
      <w:r w:rsidRPr="00442A6D">
        <w:t>rotein</w:t>
      </w:r>
      <w:r w:rsidR="00DF5B37">
        <w:t>,</w:t>
      </w:r>
      <w:r w:rsidRPr="00442A6D">
        <w:t xml:space="preserve"> and Gene database and the tRNAs genes are submitted to Gene. The </w:t>
      </w:r>
      <w:r w:rsidR="003C7E29">
        <w:t>known</w:t>
      </w:r>
      <w:r w:rsidRPr="00442A6D">
        <w:t xml:space="preserve"> RefSeq </w:t>
      </w:r>
      <w:r w:rsidR="003C7E29">
        <w:t xml:space="preserve">features </w:t>
      </w:r>
      <w:r w:rsidRPr="00442A6D">
        <w:t xml:space="preserve">are updated independently from the annotation process and are not re-submitted to </w:t>
      </w:r>
      <w:r w:rsidRPr="00442A6D">
        <w:lastRenderedPageBreak/>
        <w:t xml:space="preserve">the sequence or Gene databases (see </w:t>
      </w:r>
      <w:hyperlink w:anchor="_Access" w:history="1">
        <w:r w:rsidR="000834DD" w:rsidRPr="00DF5B37">
          <w:rPr>
            <w:rStyle w:val="Hyperlink"/>
          </w:rPr>
          <w:t>A</w:t>
        </w:r>
        <w:r w:rsidRPr="00DF5B37">
          <w:rPr>
            <w:rStyle w:val="Hyperlink"/>
          </w:rPr>
          <w:t>ccess section</w:t>
        </w:r>
      </w:hyperlink>
      <w:r w:rsidRPr="00442A6D">
        <w:t xml:space="preserve"> below).</w:t>
      </w:r>
      <w:r>
        <w:t xml:space="preserve"> The origin of the annotation can be deduced from the \note on the feature annotated on the genomic sequences (Table </w:t>
      </w:r>
      <w:r w:rsidR="00772467">
        <w:t>1</w:t>
      </w:r>
      <w:r>
        <w:t xml:space="preserve">). </w:t>
      </w:r>
    </w:p>
    <w:p w14:paraId="6240722D" w14:textId="0C8DE970" w:rsidR="00726A47" w:rsidRDefault="00726A47" w:rsidP="00726A47"/>
    <w:p w14:paraId="5D47544E" w14:textId="02BB0256" w:rsidR="004F45BB" w:rsidRDefault="00B267E7" w:rsidP="009D01F9">
      <w:r>
        <w:t>For transcripts and proteins produced by Gnomon, t</w:t>
      </w:r>
      <w:r w:rsidR="000A6370">
        <w:t>he sequence records provide the level of support for predicted models. For low</w:t>
      </w:r>
      <w:r>
        <w:t>-</w:t>
      </w:r>
      <w:r w:rsidR="000A6370">
        <w:t>quality proteins, the records also</w:t>
      </w:r>
      <w:r w:rsidR="0083720B">
        <w:t xml:space="preserve"> detail</w:t>
      </w:r>
      <w:r w:rsidR="000A6370">
        <w:t xml:space="preserve"> the difference between the model and the genomic sequences that</w:t>
      </w:r>
      <w:r>
        <w:t xml:space="preserve"> was</w:t>
      </w:r>
      <w:r w:rsidR="000A6370">
        <w:t xml:space="preserve"> introduced to </w:t>
      </w:r>
      <w:r>
        <w:t xml:space="preserve">compensate for a possible </w:t>
      </w:r>
      <w:r w:rsidR="000A6370">
        <w:t>error in the assembly</w:t>
      </w:r>
      <w:r w:rsidR="006D6E68">
        <w:t xml:space="preserve"> (Figure 6)</w:t>
      </w:r>
      <w:r w:rsidR="000A6370">
        <w:t>.</w:t>
      </w:r>
    </w:p>
    <w:p w14:paraId="541CE362" w14:textId="2F4B44FF" w:rsidR="00B267E7" w:rsidRDefault="00B267E7" w:rsidP="009D01F9">
      <w:r>
        <w:t xml:space="preserve">As explained </w:t>
      </w:r>
      <w:hyperlink w:anchor="_Choosing_the_best" w:history="1">
        <w:r w:rsidRPr="00DF5B37">
          <w:rPr>
            <w:rStyle w:val="Hyperlink"/>
          </w:rPr>
          <w:t>above</w:t>
        </w:r>
      </w:hyperlink>
      <w:r>
        <w:t xml:space="preserve">, a </w:t>
      </w:r>
      <w:r w:rsidR="006D0227">
        <w:t>known</w:t>
      </w:r>
      <w:r>
        <w:t xml:space="preserve"> RefSeq transcript may not align perfectly to the genome but may be selected as a gene representative in the set of annotation products. These discrepancies are noted on the genomic sequence records</w:t>
      </w:r>
      <w:r w:rsidR="006D6E68">
        <w:t xml:space="preserve"> (Figure </w:t>
      </w:r>
      <w:r w:rsidR="00340A79">
        <w:t>7</w:t>
      </w:r>
      <w:r w:rsidR="006D6E68">
        <w:t>)</w:t>
      </w:r>
      <w:r w:rsidR="009A3A24">
        <w:t>.</w:t>
      </w:r>
      <w:r>
        <w:t xml:space="preserve"> </w:t>
      </w:r>
    </w:p>
    <w:p w14:paraId="20645A50" w14:textId="77777777" w:rsidR="00B267E7" w:rsidRDefault="00B267E7" w:rsidP="009D01F9"/>
    <w:p w14:paraId="734BFFC3" w14:textId="3D1ABC92" w:rsidR="00B267E7" w:rsidRDefault="00B267E7" w:rsidP="009D01F9"/>
    <w:p w14:paraId="3869D338" w14:textId="33A28B07" w:rsidR="00F557BE" w:rsidRPr="00FC6D96" w:rsidRDefault="000228CD" w:rsidP="009B0AC2">
      <w:pPr>
        <w:pStyle w:val="Heading3"/>
      </w:pPr>
      <w:r>
        <w:t>Special considerations</w:t>
      </w:r>
      <w:r w:rsidR="00F557BE" w:rsidRPr="00FC6D96">
        <w:t xml:space="preserve"> </w:t>
      </w:r>
    </w:p>
    <w:p w14:paraId="4ED8D2FA" w14:textId="58EFFB6B" w:rsidR="00F557BE" w:rsidRPr="0043107C" w:rsidRDefault="00F557BE" w:rsidP="009B0AC2">
      <w:pPr>
        <w:pStyle w:val="Heading4"/>
        <w:rPr>
          <w:color w:val="1F497D" w:themeColor="text2"/>
        </w:rPr>
      </w:pPr>
      <w:bookmarkStart w:id="3" w:name="_Annotation_of_multiple"/>
      <w:bookmarkEnd w:id="3"/>
      <w:r w:rsidRPr="0043107C">
        <w:t>An</w:t>
      </w:r>
      <w:r w:rsidR="00C24B8F">
        <w:t>notation of multiple assemblies</w:t>
      </w:r>
    </w:p>
    <w:p w14:paraId="16DD8DEC" w14:textId="603A9865" w:rsidR="002E479A" w:rsidRPr="009E6F70" w:rsidRDefault="002E479A" w:rsidP="002E479A">
      <w:pPr>
        <w:rPr>
          <w:rFonts w:cs="Arial"/>
        </w:rPr>
      </w:pPr>
      <w:r w:rsidRPr="009E6F70">
        <w:rPr>
          <w:rFonts w:cs="Arial"/>
        </w:rPr>
        <w:t>When multiple assemblies of good quality are available for a given organism,</w:t>
      </w:r>
      <w:r w:rsidR="006D6E68">
        <w:rPr>
          <w:rFonts w:cs="Arial"/>
        </w:rPr>
        <w:t xml:space="preserve"> the</w:t>
      </w:r>
      <w:r w:rsidRPr="009E6F70">
        <w:rPr>
          <w:rFonts w:cs="Arial"/>
        </w:rPr>
        <w:t xml:space="preserve"> annotation of all is done in coordination. To ensure that matching regions in multiple assemblies are annotated </w:t>
      </w:r>
      <w:r w:rsidR="004B2087">
        <w:rPr>
          <w:rFonts w:cs="Arial"/>
        </w:rPr>
        <w:t>consistently</w:t>
      </w:r>
      <w:r w:rsidRPr="009E6F70">
        <w:rPr>
          <w:rFonts w:cs="Arial"/>
        </w:rPr>
        <w:t xml:space="preserve">, assemblies are </w:t>
      </w:r>
      <w:r w:rsidR="006D6E68">
        <w:rPr>
          <w:rFonts w:cs="Arial"/>
        </w:rPr>
        <w:t>mapped</w:t>
      </w:r>
      <w:r w:rsidRPr="009E6F70">
        <w:rPr>
          <w:rFonts w:cs="Arial"/>
        </w:rPr>
        <w:t xml:space="preserve"> to each other using a B</w:t>
      </w:r>
      <w:r w:rsidR="006D6E68">
        <w:rPr>
          <w:rFonts w:cs="Arial"/>
        </w:rPr>
        <w:t>LAST</w:t>
      </w:r>
      <w:r w:rsidRPr="009E6F70">
        <w:rPr>
          <w:rFonts w:cs="Arial"/>
        </w:rPr>
        <w:t>-based process prior to the annotation. The reciprocal best hits are used to pair correspo</w:t>
      </w:r>
      <w:r w:rsidR="004B2087">
        <w:rPr>
          <w:rFonts w:cs="Arial"/>
        </w:rPr>
        <w:t>nding regions on two assemblies</w:t>
      </w:r>
      <w:r w:rsidR="004B2087">
        <w:t>.</w:t>
      </w:r>
    </w:p>
    <w:p w14:paraId="4C9A4989" w14:textId="3CFB6244" w:rsidR="002E479A" w:rsidRPr="009E6F70" w:rsidRDefault="0086430A" w:rsidP="002E479A">
      <w:pPr>
        <w:rPr>
          <w:rFonts w:cs="Arial"/>
        </w:rPr>
      </w:pPr>
      <w:r>
        <w:rPr>
          <w:rFonts w:cs="Arial"/>
        </w:rPr>
        <w:t xml:space="preserve">As explained on Figure </w:t>
      </w:r>
      <w:r w:rsidR="006D6E68">
        <w:rPr>
          <w:rFonts w:cs="Arial"/>
        </w:rPr>
        <w:t>8</w:t>
      </w:r>
      <w:r>
        <w:rPr>
          <w:rFonts w:cs="Arial"/>
        </w:rPr>
        <w:t>, t</w:t>
      </w:r>
      <w:r w:rsidR="002E479A" w:rsidRPr="009E6F70">
        <w:rPr>
          <w:rFonts w:cs="Arial"/>
        </w:rPr>
        <w:t xml:space="preserve">hese paired regions </w:t>
      </w:r>
      <w:r>
        <w:rPr>
          <w:rFonts w:cs="Arial"/>
        </w:rPr>
        <w:t>allow the coordinate ranking</w:t>
      </w:r>
      <w:r w:rsidR="006D6E68">
        <w:rPr>
          <w:rFonts w:cs="Arial"/>
        </w:rPr>
        <w:t xml:space="preserve"> of</w:t>
      </w:r>
      <w:r w:rsidR="002E479A" w:rsidRPr="009E6F70">
        <w:rPr>
          <w:rFonts w:cs="Arial"/>
        </w:rPr>
        <w:t xml:space="preserve"> the alignment of a given transcript on both assemblies</w:t>
      </w:r>
      <w:r>
        <w:rPr>
          <w:rFonts w:cs="Arial"/>
        </w:rPr>
        <w:t>.</w:t>
      </w:r>
    </w:p>
    <w:p w14:paraId="73FE0CD4" w14:textId="0B749789" w:rsidR="002E479A" w:rsidRDefault="002E479A" w:rsidP="002E479A">
      <w:pPr>
        <w:rPr>
          <w:rFonts w:cs="Arial"/>
        </w:rPr>
      </w:pPr>
      <w:r w:rsidRPr="009E6F70">
        <w:rPr>
          <w:rFonts w:cs="Arial"/>
        </w:rPr>
        <w:t xml:space="preserve">This strategy ensures that </w:t>
      </w:r>
      <w:r w:rsidR="006D6E68">
        <w:rPr>
          <w:rFonts w:cs="Arial"/>
        </w:rPr>
        <w:t xml:space="preserve">mapped regions are </w:t>
      </w:r>
      <w:r w:rsidRPr="009E6F70">
        <w:rPr>
          <w:rFonts w:cs="Arial"/>
        </w:rPr>
        <w:t xml:space="preserve">annotated the same way and that </w:t>
      </w:r>
      <w:r w:rsidR="006D6E68">
        <w:rPr>
          <w:rFonts w:cs="Arial"/>
        </w:rPr>
        <w:t xml:space="preserve">the same genes are assigned the same </w:t>
      </w:r>
      <w:r w:rsidRPr="009E6F70">
        <w:rPr>
          <w:rFonts w:cs="Arial"/>
        </w:rPr>
        <w:t>GeneID and locus type</w:t>
      </w:r>
      <w:r w:rsidR="006D6E68">
        <w:rPr>
          <w:rFonts w:cs="Arial"/>
        </w:rPr>
        <w:t xml:space="preserve"> on both assemblies</w:t>
      </w:r>
      <w:r w:rsidRPr="009E6F70">
        <w:rPr>
          <w:rFonts w:cs="Arial"/>
        </w:rPr>
        <w:t xml:space="preserve">. </w:t>
      </w:r>
      <w:r w:rsidR="006D6E68">
        <w:rPr>
          <w:rFonts w:cs="Arial"/>
        </w:rPr>
        <w:t>It</w:t>
      </w:r>
      <w:r w:rsidRPr="009E6F70">
        <w:rPr>
          <w:rFonts w:cs="Arial"/>
        </w:rPr>
        <w:t xml:space="preserve"> reduce</w:t>
      </w:r>
      <w:r>
        <w:rPr>
          <w:rFonts w:cs="Arial"/>
        </w:rPr>
        <w:t>s</w:t>
      </w:r>
      <w:r w:rsidRPr="009E6F70">
        <w:rPr>
          <w:rFonts w:cs="Arial"/>
        </w:rPr>
        <w:t xml:space="preserve"> the redundancy in the Gene set for a given organism and helps navigation between multiple assemblies. Note that </w:t>
      </w:r>
      <w:r w:rsidR="006D6E68">
        <w:rPr>
          <w:rFonts w:cs="Arial"/>
        </w:rPr>
        <w:t xml:space="preserve">for Gnomon models, </w:t>
      </w:r>
      <w:r w:rsidRPr="009E6F70">
        <w:rPr>
          <w:rFonts w:cs="Arial"/>
        </w:rPr>
        <w:t>although a single GeneID represents the locus in multiple assemblies, a different transcript and protein accession is instantiated for each individual assembly.</w:t>
      </w:r>
    </w:p>
    <w:p w14:paraId="6EA5C9FB" w14:textId="1B6B6308" w:rsidR="00DF5B37" w:rsidRDefault="004B2087" w:rsidP="009E6F70">
      <w:r>
        <w:rPr>
          <w:rFonts w:cs="Arial"/>
        </w:rPr>
        <w:t xml:space="preserve">For more on the </w:t>
      </w:r>
      <w:r>
        <w:t>a</w:t>
      </w:r>
      <w:r w:rsidRPr="004B2087">
        <w:t>ssembly-assembly alignment</w:t>
      </w:r>
      <w:r>
        <w:t xml:space="preserve"> process, see</w:t>
      </w:r>
      <w:r w:rsidR="00DF5B37">
        <w:t xml:space="preserve"> the </w:t>
      </w:r>
      <w:r w:rsidR="00DF5B37" w:rsidRPr="00165D71">
        <w:t>Remapping Service chapter</w:t>
      </w:r>
      <w:r w:rsidR="00DF5B37">
        <w:t>.</w:t>
      </w:r>
    </w:p>
    <w:p w14:paraId="53341FF6" w14:textId="77777777" w:rsidR="004B2087" w:rsidRPr="009E6F70" w:rsidRDefault="004B2087" w:rsidP="009E6F70">
      <w:pPr>
        <w:rPr>
          <w:rFonts w:cs="Arial"/>
        </w:rPr>
      </w:pPr>
    </w:p>
    <w:p w14:paraId="5C4AE814" w14:textId="43A9840B" w:rsidR="005A449C" w:rsidRDefault="005A449C" w:rsidP="005A449C">
      <w:pPr>
        <w:pStyle w:val="Heading4"/>
        <w:rPr>
          <w:color w:val="1F497D" w:themeColor="text2"/>
        </w:rPr>
      </w:pPr>
      <w:bookmarkStart w:id="4" w:name="_Re-annotation"/>
      <w:bookmarkEnd w:id="4"/>
      <w:r>
        <w:t>Re-annotation</w:t>
      </w:r>
    </w:p>
    <w:p w14:paraId="002C209B" w14:textId="4AEA2635" w:rsidR="00847E7A" w:rsidRDefault="00847E7A" w:rsidP="005A449C">
      <w:r>
        <w:t>Special attention is given to tracking of models and genes from one release of the annotation to the next. Previous and current models annotated at overlapping genomic locations are identified and locus type and GeneID of the previous models are taken into consideration when assigning GeneIDs to the new models. If the assembly was updated between the two rounds of annotation, the assemblies are aligned to each other and the alignments used to match previous and current models in mapped regions.</w:t>
      </w:r>
    </w:p>
    <w:p w14:paraId="2ABA6A64" w14:textId="05F58D63" w:rsidR="00F557BE" w:rsidRDefault="00F179AC" w:rsidP="003A28C8">
      <w:pPr>
        <w:pStyle w:val="Heading2"/>
        <w:rPr>
          <w:color w:val="1F497D" w:themeColor="text2"/>
        </w:rPr>
      </w:pPr>
      <w:bookmarkStart w:id="5" w:name="_Access"/>
      <w:bookmarkEnd w:id="5"/>
      <w:r w:rsidRPr="003A28C8">
        <w:lastRenderedPageBreak/>
        <w:t>A</w:t>
      </w:r>
      <w:r w:rsidR="00F557BE" w:rsidRPr="003A28C8">
        <w:t>ccess</w:t>
      </w:r>
    </w:p>
    <w:p w14:paraId="785F3D42" w14:textId="42F53D99" w:rsidR="00DE3B1F" w:rsidRDefault="009E6F70" w:rsidP="009E6F70">
      <w:r>
        <w:t xml:space="preserve">The status of annotation runs in progress or completed recently is updated nightly on the Eukaryotic Genome Annotation </w:t>
      </w:r>
      <w:r w:rsidR="00772467">
        <w:t>P</w:t>
      </w:r>
      <w:r>
        <w:t>ipeline public page</w:t>
      </w:r>
      <w:r w:rsidR="009B0AC2">
        <w:t>:</w:t>
      </w:r>
      <w:r>
        <w:t xml:space="preserve"> </w:t>
      </w:r>
    </w:p>
    <w:p w14:paraId="47ED0DE8" w14:textId="67FC0235" w:rsidR="00DE3B1F" w:rsidRDefault="00DE7EB2" w:rsidP="009E6F70">
      <w:hyperlink r:id="rId32" w:history="1">
        <w:r w:rsidR="00DE3B1F" w:rsidRPr="00CA424D">
          <w:rPr>
            <w:rStyle w:val="Hyperlink"/>
          </w:rPr>
          <w:t>http://www.ncbi.nlm.nih.gov/genome/annotation_euk/status/</w:t>
        </w:r>
      </w:hyperlink>
    </w:p>
    <w:p w14:paraId="1060D1DF" w14:textId="21E408A7" w:rsidR="00BD58A5" w:rsidRDefault="00BD58A5" w:rsidP="00BD58A5">
      <w:r>
        <w:t xml:space="preserve">This page provides links to the resources where data for a specific </w:t>
      </w:r>
      <w:r w:rsidR="00086C2E">
        <w:t>A</w:t>
      </w:r>
      <w:r>
        <w:t xml:space="preserve">nnotation </w:t>
      </w:r>
      <w:r w:rsidR="00086C2E">
        <w:t>R</w:t>
      </w:r>
      <w:r>
        <w:t>elease is available</w:t>
      </w:r>
      <w:r w:rsidR="0091256D">
        <w:t xml:space="preserve"> (Figure </w:t>
      </w:r>
      <w:r w:rsidR="00101896">
        <w:t>9</w:t>
      </w:r>
      <w:r w:rsidR="0091256D">
        <w:t>)</w:t>
      </w:r>
      <w:r>
        <w:t>.</w:t>
      </w:r>
    </w:p>
    <w:p w14:paraId="1BE3E1F9" w14:textId="77777777" w:rsidR="00BD58A5" w:rsidRDefault="00BD58A5" w:rsidP="009E6F70"/>
    <w:p w14:paraId="0C0DA2A6" w14:textId="77777777" w:rsidR="009E6F70" w:rsidRDefault="009E6F70" w:rsidP="009E6F70"/>
    <w:p w14:paraId="70D4A49E" w14:textId="61ADE12B" w:rsidR="009E6F70" w:rsidRDefault="00D6062C" w:rsidP="009E6F70">
      <w:r>
        <w:t xml:space="preserve">Products of NCBI’s eukaryotic annotation pipeline </w:t>
      </w:r>
      <w:r w:rsidR="00867E60">
        <w:t>are available</w:t>
      </w:r>
      <w:r>
        <w:t xml:space="preserve"> in several resources</w:t>
      </w:r>
      <w:r w:rsidR="006F1470">
        <w:t xml:space="preserve"> (Table 2)</w:t>
      </w:r>
      <w:r>
        <w:t xml:space="preserve"> including</w:t>
      </w:r>
      <w:r w:rsidR="00867E60">
        <w:t>:</w:t>
      </w:r>
    </w:p>
    <w:p w14:paraId="5AEDF0C6" w14:textId="7232286E" w:rsidR="009E6F70" w:rsidRPr="00867E60" w:rsidRDefault="00867E60" w:rsidP="006F1470">
      <w:pPr>
        <w:pStyle w:val="ListParagraph"/>
        <w:numPr>
          <w:ilvl w:val="0"/>
          <w:numId w:val="16"/>
        </w:numPr>
        <w:rPr>
          <w:rFonts w:ascii="Arial" w:hAnsi="Arial" w:cs="Arial"/>
        </w:rPr>
      </w:pPr>
      <w:r>
        <w:rPr>
          <w:rFonts w:ascii="Arial" w:hAnsi="Arial" w:cs="Arial"/>
        </w:rPr>
        <w:t xml:space="preserve">In the </w:t>
      </w:r>
      <w:hyperlink r:id="rId33" w:history="1">
        <w:r w:rsidR="00DF5B37">
          <w:rPr>
            <w:rStyle w:val="Hyperlink"/>
            <w:rFonts w:ascii="Arial" w:hAnsi="Arial" w:cs="Arial"/>
          </w:rPr>
          <w:t>N</w:t>
        </w:r>
        <w:r w:rsidR="009E6F70" w:rsidRPr="003E5DF5">
          <w:rPr>
            <w:rStyle w:val="Hyperlink"/>
            <w:rFonts w:ascii="Arial" w:hAnsi="Arial" w:cs="Arial"/>
          </w:rPr>
          <w:t>ucleotide</w:t>
        </w:r>
      </w:hyperlink>
      <w:r w:rsidR="009E6F70" w:rsidRPr="00867E60">
        <w:rPr>
          <w:rFonts w:ascii="Arial" w:hAnsi="Arial" w:cs="Arial"/>
        </w:rPr>
        <w:t xml:space="preserve"> and </w:t>
      </w:r>
      <w:hyperlink r:id="rId34" w:history="1">
        <w:r w:rsidR="00DF5B37">
          <w:rPr>
            <w:rStyle w:val="Hyperlink"/>
            <w:rFonts w:ascii="Arial" w:hAnsi="Arial" w:cs="Arial"/>
          </w:rPr>
          <w:t>P</w:t>
        </w:r>
        <w:r w:rsidR="009E6F70" w:rsidRPr="003E5DF5">
          <w:rPr>
            <w:rStyle w:val="Hyperlink"/>
            <w:rFonts w:ascii="Arial" w:hAnsi="Arial" w:cs="Arial"/>
          </w:rPr>
          <w:t>rotein</w:t>
        </w:r>
      </w:hyperlink>
      <w:r w:rsidR="009E6F70" w:rsidRPr="00867E60">
        <w:rPr>
          <w:rFonts w:ascii="Arial" w:hAnsi="Arial" w:cs="Arial"/>
        </w:rPr>
        <w:t xml:space="preserve"> database</w:t>
      </w:r>
      <w:r w:rsidR="00082DCB">
        <w:rPr>
          <w:rFonts w:ascii="Arial" w:hAnsi="Arial" w:cs="Arial"/>
        </w:rPr>
        <w:t>s</w:t>
      </w:r>
    </w:p>
    <w:p w14:paraId="753AD3AA" w14:textId="7CBB47FD" w:rsidR="009E6F70" w:rsidRPr="00867E60" w:rsidRDefault="00867E60" w:rsidP="006F1470">
      <w:pPr>
        <w:pStyle w:val="ListParagraph"/>
        <w:numPr>
          <w:ilvl w:val="0"/>
          <w:numId w:val="16"/>
        </w:numPr>
        <w:rPr>
          <w:rFonts w:ascii="Arial" w:hAnsi="Arial" w:cs="Arial"/>
        </w:rPr>
      </w:pPr>
      <w:r>
        <w:rPr>
          <w:rFonts w:ascii="Arial" w:hAnsi="Arial" w:cs="Arial"/>
        </w:rPr>
        <w:t xml:space="preserve">In the </w:t>
      </w:r>
      <w:hyperlink r:id="rId35" w:history="1">
        <w:r w:rsidR="009E6F70" w:rsidRPr="003E5DF5">
          <w:rPr>
            <w:rStyle w:val="Hyperlink"/>
            <w:rFonts w:ascii="Arial" w:hAnsi="Arial" w:cs="Arial"/>
          </w:rPr>
          <w:t>Gene</w:t>
        </w:r>
      </w:hyperlink>
      <w:r>
        <w:rPr>
          <w:rFonts w:ascii="Arial" w:hAnsi="Arial" w:cs="Arial"/>
        </w:rPr>
        <w:t xml:space="preserve"> database</w:t>
      </w:r>
    </w:p>
    <w:p w14:paraId="6CD704A3" w14:textId="4AD1DB8C" w:rsidR="009E6F70" w:rsidRPr="002750A8" w:rsidRDefault="00867E60" w:rsidP="006F1470">
      <w:pPr>
        <w:pStyle w:val="ListParagraph"/>
        <w:numPr>
          <w:ilvl w:val="0"/>
          <w:numId w:val="16"/>
        </w:numPr>
        <w:rPr>
          <w:rFonts w:ascii="Arial" w:hAnsi="Arial" w:cs="Arial"/>
        </w:rPr>
      </w:pPr>
      <w:r>
        <w:rPr>
          <w:rFonts w:ascii="Arial" w:hAnsi="Arial" w:cs="Arial"/>
        </w:rPr>
        <w:t xml:space="preserve">On the </w:t>
      </w:r>
      <w:hyperlink r:id="rId36" w:history="1">
        <w:r w:rsidR="009E6F70" w:rsidRPr="003E5DF5">
          <w:rPr>
            <w:rStyle w:val="Hyperlink"/>
            <w:rFonts w:ascii="Arial" w:hAnsi="Arial" w:cs="Arial"/>
          </w:rPr>
          <w:t>FTP</w:t>
        </w:r>
      </w:hyperlink>
      <w:r w:rsidR="00B83468">
        <w:rPr>
          <w:rStyle w:val="Hyperlink"/>
          <w:rFonts w:ascii="Arial" w:hAnsi="Arial" w:cs="Arial"/>
        </w:rPr>
        <w:t xml:space="preserve"> site</w:t>
      </w:r>
      <w:r w:rsidR="0082293C" w:rsidRPr="00D33527">
        <w:t xml:space="preserve"> </w:t>
      </w:r>
      <w:r w:rsidR="0082293C" w:rsidRPr="00101896">
        <w:rPr>
          <w:rFonts w:ascii="Arial" w:hAnsi="Arial" w:cs="Arial"/>
        </w:rPr>
        <w:t>in GFF, FASTA, GenBank flat file and ASN formats</w:t>
      </w:r>
      <w:r w:rsidR="0082293C" w:rsidRPr="00D33527">
        <w:t xml:space="preserve"> </w:t>
      </w:r>
    </w:p>
    <w:p w14:paraId="0FD9C001" w14:textId="06BE25CB" w:rsidR="009E6F70" w:rsidRPr="002750A8" w:rsidRDefault="00867E60" w:rsidP="006F1470">
      <w:pPr>
        <w:pStyle w:val="ListParagraph"/>
        <w:numPr>
          <w:ilvl w:val="0"/>
          <w:numId w:val="16"/>
        </w:numPr>
        <w:rPr>
          <w:rFonts w:ascii="Arial" w:hAnsi="Arial" w:cs="Arial"/>
        </w:rPr>
      </w:pPr>
      <w:r w:rsidRPr="002750A8">
        <w:rPr>
          <w:rFonts w:ascii="Arial" w:hAnsi="Arial" w:cs="Arial"/>
        </w:rPr>
        <w:t xml:space="preserve">As </w:t>
      </w:r>
      <w:hyperlink r:id="rId37" w:history="1">
        <w:r w:rsidR="009E6F70" w:rsidRPr="002750A8">
          <w:rPr>
            <w:rStyle w:val="Hyperlink"/>
            <w:rFonts w:ascii="Arial" w:hAnsi="Arial" w:cs="Arial"/>
          </w:rPr>
          <w:t>Map Viewer</w:t>
        </w:r>
      </w:hyperlink>
      <w:r w:rsidRPr="002750A8">
        <w:rPr>
          <w:rFonts w:ascii="Arial" w:hAnsi="Arial" w:cs="Arial"/>
        </w:rPr>
        <w:t xml:space="preserve"> tracks</w:t>
      </w:r>
    </w:p>
    <w:p w14:paraId="5F805FF4" w14:textId="40243C00" w:rsidR="009E6F70" w:rsidRDefault="00867E60" w:rsidP="006F1470">
      <w:pPr>
        <w:pStyle w:val="ListParagraph"/>
        <w:numPr>
          <w:ilvl w:val="0"/>
          <w:numId w:val="16"/>
        </w:numPr>
        <w:rPr>
          <w:rFonts w:ascii="Arial" w:hAnsi="Arial" w:cs="Arial"/>
        </w:rPr>
      </w:pPr>
      <w:r>
        <w:rPr>
          <w:rFonts w:ascii="Arial" w:hAnsi="Arial" w:cs="Arial"/>
        </w:rPr>
        <w:t xml:space="preserve">In </w:t>
      </w:r>
      <w:r w:rsidR="009E6F70" w:rsidRPr="00867E60">
        <w:rPr>
          <w:rFonts w:ascii="Arial" w:hAnsi="Arial" w:cs="Arial"/>
        </w:rPr>
        <w:t>B</w:t>
      </w:r>
      <w:r>
        <w:rPr>
          <w:rFonts w:ascii="Arial" w:hAnsi="Arial" w:cs="Arial"/>
        </w:rPr>
        <w:t>LAST</w:t>
      </w:r>
      <w:r w:rsidR="009E6F70" w:rsidRPr="00867E60">
        <w:rPr>
          <w:rFonts w:ascii="Arial" w:hAnsi="Arial" w:cs="Arial"/>
        </w:rPr>
        <w:t xml:space="preserve"> databases</w:t>
      </w:r>
      <w:r w:rsidR="005367E1">
        <w:rPr>
          <w:rFonts w:ascii="Arial" w:hAnsi="Arial" w:cs="Arial"/>
        </w:rPr>
        <w:t xml:space="preserve"> available from organism-specific </w:t>
      </w:r>
      <w:hyperlink r:id="rId38" w:history="1">
        <w:r w:rsidR="005367E1" w:rsidRPr="003E5DF5">
          <w:rPr>
            <w:rStyle w:val="Hyperlink"/>
            <w:rFonts w:ascii="Arial" w:hAnsi="Arial" w:cs="Arial"/>
          </w:rPr>
          <w:t>BLAST</w:t>
        </w:r>
      </w:hyperlink>
      <w:r w:rsidR="005367E1">
        <w:rPr>
          <w:rFonts w:ascii="Arial" w:hAnsi="Arial" w:cs="Arial"/>
        </w:rPr>
        <w:t xml:space="preserve"> pages</w:t>
      </w:r>
    </w:p>
    <w:p w14:paraId="35D385C3" w14:textId="2ADAD027" w:rsidR="00E61595" w:rsidRPr="00867E60" w:rsidRDefault="00101896" w:rsidP="006F1470">
      <w:pPr>
        <w:pStyle w:val="ListParagraph"/>
        <w:numPr>
          <w:ilvl w:val="0"/>
          <w:numId w:val="16"/>
        </w:numPr>
        <w:rPr>
          <w:rFonts w:ascii="Arial" w:hAnsi="Arial" w:cs="Arial"/>
        </w:rPr>
      </w:pPr>
      <w:r>
        <w:rPr>
          <w:rFonts w:ascii="Arial" w:hAnsi="Arial" w:cs="Arial"/>
        </w:rPr>
        <w:t>In the Consensus CDS project (</w:t>
      </w:r>
      <w:hyperlink r:id="rId39" w:history="1">
        <w:r w:rsidR="00E61595" w:rsidRPr="00101896">
          <w:rPr>
            <w:rStyle w:val="Hyperlink"/>
            <w:rFonts w:ascii="Arial" w:hAnsi="Arial" w:cs="Arial"/>
          </w:rPr>
          <w:t>CCDS</w:t>
        </w:r>
      </w:hyperlink>
      <w:r>
        <w:rPr>
          <w:rFonts w:ascii="Arial" w:hAnsi="Arial" w:cs="Arial"/>
        </w:rPr>
        <w:t>)</w:t>
      </w:r>
    </w:p>
    <w:p w14:paraId="5949ED7B" w14:textId="4F708214" w:rsidR="009E6F70" w:rsidRDefault="00EF3F6B" w:rsidP="006F1470">
      <w:pPr>
        <w:pStyle w:val="Heading3"/>
      </w:pPr>
      <w:r>
        <w:t xml:space="preserve">Future development: </w:t>
      </w:r>
      <w:r w:rsidR="00566775">
        <w:t xml:space="preserve">annotation </w:t>
      </w:r>
      <w:r w:rsidR="009E6F70">
        <w:t>reports</w:t>
      </w:r>
    </w:p>
    <w:p w14:paraId="04286BDE" w14:textId="1FAF5F3B" w:rsidR="009E6F70" w:rsidRDefault="009E6F70" w:rsidP="009E6F70">
      <w:r>
        <w:t>The quality of the end-products</w:t>
      </w:r>
      <w:r w:rsidR="007D679D">
        <w:t xml:space="preserve"> produced </w:t>
      </w:r>
      <w:r w:rsidR="009708D1">
        <w:t xml:space="preserve">by </w:t>
      </w:r>
      <w:r w:rsidR="007D679D">
        <w:t>the Eukaryotic Genome Annotation Pipeline</w:t>
      </w:r>
      <w:r>
        <w:t xml:space="preserve"> is highly dependent on the quality of the assembly and on the amount and quality of same-species or close cross-species evidence.</w:t>
      </w:r>
    </w:p>
    <w:p w14:paraId="33C9F649" w14:textId="2229C40B" w:rsidR="00646A19" w:rsidRDefault="009E6F70" w:rsidP="00566775">
      <w:r>
        <w:t xml:space="preserve">To facilitate the users' understanding of the annotation process and provide context for the annotation results, </w:t>
      </w:r>
      <w:r w:rsidR="006F1470">
        <w:t xml:space="preserve">NCBI </w:t>
      </w:r>
      <w:r w:rsidR="00EF3F6B">
        <w:t xml:space="preserve">will start </w:t>
      </w:r>
      <w:r w:rsidR="006F1470">
        <w:t>publish</w:t>
      </w:r>
      <w:r w:rsidR="0066283B">
        <w:t>ing</w:t>
      </w:r>
      <w:r w:rsidR="006F1470">
        <w:t xml:space="preserve"> </w:t>
      </w:r>
      <w:r>
        <w:t>report</w:t>
      </w:r>
      <w:r w:rsidR="0066283B">
        <w:t>s</w:t>
      </w:r>
      <w:r>
        <w:t xml:space="preserve"> </w:t>
      </w:r>
      <w:r w:rsidR="00B83468">
        <w:t xml:space="preserve">for </w:t>
      </w:r>
      <w:r>
        <w:t>each annotation run</w:t>
      </w:r>
      <w:r w:rsidR="006F1470">
        <w:t xml:space="preserve"> </w:t>
      </w:r>
      <w:r w:rsidR="0066283B">
        <w:t xml:space="preserve">by </w:t>
      </w:r>
      <w:r w:rsidR="00E2712A">
        <w:t>the end of</w:t>
      </w:r>
      <w:r w:rsidR="006F1470">
        <w:t xml:space="preserve"> 2013</w:t>
      </w:r>
      <w:r>
        <w:t xml:space="preserve">. These reports </w:t>
      </w:r>
      <w:r w:rsidR="00EF3F6B">
        <w:t xml:space="preserve">will </w:t>
      </w:r>
      <w:r>
        <w:t>include a description of the assemblies that were annotated</w:t>
      </w:r>
      <w:r w:rsidR="006F1470">
        <w:t xml:space="preserve"> and summary counts of the products of the annotation. Additionally, </w:t>
      </w:r>
      <w:r>
        <w:t xml:space="preserve">intermediate statistics summarizing </w:t>
      </w:r>
      <w:r w:rsidR="006F1470">
        <w:t xml:space="preserve">which transcripts and protein sets were used and </w:t>
      </w:r>
      <w:r>
        <w:t xml:space="preserve">how well the evidence aligned to the genomes </w:t>
      </w:r>
      <w:r w:rsidR="00EF3F6B">
        <w:t xml:space="preserve">will be </w:t>
      </w:r>
      <w:r>
        <w:t>provided.</w:t>
      </w:r>
    </w:p>
    <w:p w14:paraId="42BC2229" w14:textId="3FF1A168" w:rsidR="00225D14" w:rsidRDefault="00225D14" w:rsidP="00612371"/>
    <w:p w14:paraId="7A70C085" w14:textId="77777777" w:rsidR="00C86585" w:rsidRPr="00FF3180" w:rsidRDefault="00F557BE" w:rsidP="00FF3180">
      <w:pPr>
        <w:pStyle w:val="Heading2"/>
      </w:pPr>
      <w:r w:rsidRPr="00FF3180">
        <w:t>References</w:t>
      </w:r>
    </w:p>
    <w:p w14:paraId="79EE8BAC" w14:textId="1608DA5C" w:rsidR="00866249" w:rsidRPr="00BC34AB" w:rsidRDefault="009708D1" w:rsidP="00C81FAB">
      <w:pPr>
        <w:pStyle w:val="Reference"/>
      </w:pPr>
      <w:r>
        <w:t xml:space="preserve">1. </w:t>
      </w:r>
      <w:r w:rsidR="00866249" w:rsidRPr="00BC34AB">
        <w:t>Kapustin</w:t>
      </w:r>
      <w:r w:rsidR="00121B2A">
        <w:t xml:space="preserve"> Y, </w:t>
      </w:r>
      <w:r w:rsidR="00866249" w:rsidRPr="00BC34AB">
        <w:t>Souvorov</w:t>
      </w:r>
      <w:r w:rsidR="00121B2A">
        <w:t xml:space="preserve"> A, </w:t>
      </w:r>
      <w:r w:rsidR="00866249" w:rsidRPr="00BC34AB">
        <w:t>Tatusova</w:t>
      </w:r>
      <w:r w:rsidR="00121B2A">
        <w:t xml:space="preserve"> T and </w:t>
      </w:r>
      <w:r w:rsidR="00866249" w:rsidRPr="00BC34AB">
        <w:t>Lipman</w:t>
      </w:r>
      <w:r w:rsidR="00121B2A">
        <w:t xml:space="preserve"> D</w:t>
      </w:r>
      <w:r w:rsidR="00866249" w:rsidRPr="00BC34AB">
        <w:t xml:space="preserve">. Splign: algorithms for computing spliced alignments with identification of paralogs. </w:t>
      </w:r>
      <w:r w:rsidR="00DA3F77" w:rsidRPr="0003323B">
        <w:t>Biol Direct.</w:t>
      </w:r>
      <w:r w:rsidR="00DA3F77">
        <w:t xml:space="preserve"> 2008 May 21;3:20.</w:t>
      </w:r>
    </w:p>
    <w:p w14:paraId="192ACFCD" w14:textId="282106A6" w:rsidR="00B34F4F" w:rsidRDefault="009708D1" w:rsidP="00C81FAB">
      <w:pPr>
        <w:pStyle w:val="Reference"/>
      </w:pPr>
      <w:r>
        <w:t xml:space="preserve">2. </w:t>
      </w:r>
      <w:r w:rsidR="00B34F4F" w:rsidRPr="006A6442">
        <w:t xml:space="preserve">Pruitt KD, Tatusova T, Brown GR, Maglott DR. </w:t>
      </w:r>
      <w:r w:rsidR="0003323B" w:rsidRPr="00703981">
        <w:t>Nucleic Acids Res.</w:t>
      </w:r>
      <w:r w:rsidR="00DA3F77">
        <w:t xml:space="preserve"> 2012 Jan;</w:t>
      </w:r>
      <w:r w:rsidR="00DA3F77">
        <w:rPr>
          <w:rStyle w:val="highlight"/>
        </w:rPr>
        <w:t>40</w:t>
      </w:r>
      <w:r w:rsidR="00DA3F77">
        <w:t>(</w:t>
      </w:r>
      <w:r w:rsidR="00DA3F77">
        <w:rPr>
          <w:rStyle w:val="highlight"/>
        </w:rPr>
        <w:t>Database</w:t>
      </w:r>
      <w:r w:rsidR="00DA3F77">
        <w:t xml:space="preserve"> </w:t>
      </w:r>
      <w:r w:rsidR="00DA3F77">
        <w:rPr>
          <w:rStyle w:val="highlight"/>
        </w:rPr>
        <w:t>issue</w:t>
      </w:r>
      <w:r w:rsidR="00DA3F77">
        <w:t>):</w:t>
      </w:r>
      <w:r w:rsidR="00DA3F77">
        <w:rPr>
          <w:rStyle w:val="highlight"/>
        </w:rPr>
        <w:t>D130-5</w:t>
      </w:r>
    </w:p>
    <w:p w14:paraId="765E0B97" w14:textId="6CADBCE8" w:rsidR="007310EF" w:rsidRPr="00D66BA7" w:rsidRDefault="009708D1" w:rsidP="00C81FAB">
      <w:pPr>
        <w:pStyle w:val="Reference"/>
        <w:rPr>
          <w:color w:val="000000"/>
        </w:rPr>
      </w:pPr>
      <w:r>
        <w:t xml:space="preserve">3. </w:t>
      </w:r>
      <w:r w:rsidR="007310EF" w:rsidRPr="00BC34AB">
        <w:t>Altschul SF</w:t>
      </w:r>
      <w:r w:rsidR="007310EF">
        <w:t xml:space="preserve">, </w:t>
      </w:r>
      <w:r w:rsidR="007310EF" w:rsidRPr="00BC34AB">
        <w:t>Gish W</w:t>
      </w:r>
      <w:r w:rsidR="007310EF">
        <w:t xml:space="preserve">, </w:t>
      </w:r>
      <w:r w:rsidR="007310EF" w:rsidRPr="00BC34AB">
        <w:t>Miller W</w:t>
      </w:r>
      <w:r w:rsidR="007310EF">
        <w:t xml:space="preserve">, </w:t>
      </w:r>
      <w:r w:rsidR="007310EF" w:rsidRPr="00BC34AB">
        <w:t>Myers EW</w:t>
      </w:r>
      <w:r w:rsidR="007310EF">
        <w:t xml:space="preserve">, </w:t>
      </w:r>
      <w:r w:rsidR="007310EF" w:rsidRPr="00BC34AB">
        <w:t>Lipman DJ</w:t>
      </w:r>
      <w:r w:rsidR="007310EF">
        <w:t>.</w:t>
      </w:r>
      <w:r w:rsidR="00703981">
        <w:t xml:space="preserve"> </w:t>
      </w:r>
      <w:r w:rsidR="00703981" w:rsidRPr="00703981">
        <w:t xml:space="preserve">Basic local alignment search tool. </w:t>
      </w:r>
      <w:r w:rsidR="00703981" w:rsidRPr="0003323B">
        <w:t>J Mol Biol.</w:t>
      </w:r>
      <w:r w:rsidR="00703981">
        <w:t xml:space="preserve"> 1990 Oct 5;215(3):403-10.</w:t>
      </w:r>
    </w:p>
    <w:p w14:paraId="09A7686E" w14:textId="6035070A" w:rsidR="007310EF" w:rsidRPr="007310EF" w:rsidRDefault="009708D1" w:rsidP="00C81FAB">
      <w:pPr>
        <w:pStyle w:val="Reference"/>
        <w:rPr>
          <w:color w:val="000000"/>
        </w:rPr>
      </w:pPr>
      <w:r>
        <w:t xml:space="preserve">4. </w:t>
      </w:r>
      <w:r w:rsidR="007310EF">
        <w:t xml:space="preserve">Yeh RF, Lim LP, Burge CB. </w:t>
      </w:r>
      <w:r w:rsidR="00703981" w:rsidRPr="00703981">
        <w:t>Computational inference of homologous gene structures in the human genome.</w:t>
      </w:r>
      <w:r w:rsidR="00703981" w:rsidRPr="00703981">
        <w:rPr>
          <w:rStyle w:val="term-highlight"/>
        </w:rPr>
        <w:t xml:space="preserve"> </w:t>
      </w:r>
      <w:r w:rsidR="007310EF" w:rsidRPr="00121B2A">
        <w:rPr>
          <w:rStyle w:val="term-highlight"/>
        </w:rPr>
        <w:t>Genome</w:t>
      </w:r>
      <w:r w:rsidR="007310EF" w:rsidRPr="00121B2A">
        <w:rPr>
          <w:rStyle w:val="ref-journal"/>
        </w:rPr>
        <w:t xml:space="preserve"> Res</w:t>
      </w:r>
      <w:r w:rsidR="00121B2A">
        <w:rPr>
          <w:rStyle w:val="ref-journal"/>
        </w:rPr>
        <w:t>.</w:t>
      </w:r>
      <w:r w:rsidR="007310EF">
        <w:rPr>
          <w:rStyle w:val="ref-journal"/>
        </w:rPr>
        <w:t xml:space="preserve"> </w:t>
      </w:r>
      <w:r w:rsidR="007310EF">
        <w:t>2001</w:t>
      </w:r>
      <w:r w:rsidR="00DA3F77">
        <w:t xml:space="preserve"> May</w:t>
      </w:r>
      <w:r w:rsidR="00121B2A">
        <w:t>;</w:t>
      </w:r>
      <w:r w:rsidR="007310EF">
        <w:t xml:space="preserve"> </w:t>
      </w:r>
      <w:r w:rsidR="007310EF" w:rsidRPr="00121B2A">
        <w:rPr>
          <w:rStyle w:val="ref-vol"/>
        </w:rPr>
        <w:t>11</w:t>
      </w:r>
      <w:r w:rsidR="00DA3F77">
        <w:rPr>
          <w:rStyle w:val="ref-vol"/>
        </w:rPr>
        <w:t>(5)</w:t>
      </w:r>
      <w:r w:rsidR="007310EF">
        <w:t>:803–816</w:t>
      </w:r>
      <w:r w:rsidR="00DA3F77">
        <w:t>.</w:t>
      </w:r>
    </w:p>
    <w:p w14:paraId="3248E902" w14:textId="6D5C0716" w:rsidR="007310EF" w:rsidRPr="00631AF8" w:rsidRDefault="009708D1" w:rsidP="00C81FAB">
      <w:pPr>
        <w:pStyle w:val="Reference"/>
      </w:pPr>
      <w:r>
        <w:t xml:space="preserve">5. </w:t>
      </w:r>
      <w:r w:rsidR="007310EF" w:rsidRPr="001B0C25">
        <w:t>Burge</w:t>
      </w:r>
      <w:r w:rsidR="00121B2A">
        <w:t xml:space="preserve"> C</w:t>
      </w:r>
      <w:r w:rsidR="007310EF" w:rsidRPr="001B0C25">
        <w:t xml:space="preserve"> and Karlin</w:t>
      </w:r>
      <w:r w:rsidR="00121B2A">
        <w:t xml:space="preserve"> S. </w:t>
      </w:r>
      <w:r w:rsidR="007310EF" w:rsidRPr="001B0C25">
        <w:t>Prediction of complete gene str</w:t>
      </w:r>
      <w:r w:rsidR="007310EF">
        <w:t xml:space="preserve">uctures in human genomic DNA. </w:t>
      </w:r>
      <w:r w:rsidR="00DA3F77" w:rsidRPr="0003323B">
        <w:t>J Mol Biol.</w:t>
      </w:r>
      <w:r w:rsidR="00DA3F77">
        <w:t xml:space="preserve"> 1997 Apr 25;268(1):78-94.</w:t>
      </w:r>
    </w:p>
    <w:p w14:paraId="207E7966" w14:textId="7E88CBE0" w:rsidR="00631AF8" w:rsidRPr="00631AF8" w:rsidRDefault="009708D1" w:rsidP="00C81FAB">
      <w:pPr>
        <w:pStyle w:val="Reference"/>
        <w:rPr>
          <w:b/>
          <w:bCs/>
        </w:rPr>
      </w:pPr>
      <w:r>
        <w:t xml:space="preserve">6. </w:t>
      </w:r>
      <w:r w:rsidR="00631AF8">
        <w:t xml:space="preserve">Wheelan SJ, Church DM and Ostell JM. </w:t>
      </w:r>
      <w:r w:rsidR="00631AF8" w:rsidRPr="00631AF8">
        <w:rPr>
          <w:bCs/>
        </w:rPr>
        <w:t>Spidey: A Tool for mRNA-to-Genomic Alignments. Genome Res. 2001 November;11(11): 1952–1957</w:t>
      </w:r>
    </w:p>
    <w:p w14:paraId="31E97BE0" w14:textId="61025E5D" w:rsidR="00B05565" w:rsidRDefault="009708D1" w:rsidP="00C81FAB">
      <w:pPr>
        <w:pStyle w:val="Reference"/>
      </w:pPr>
      <w:r>
        <w:lastRenderedPageBreak/>
        <w:t xml:space="preserve">7. </w:t>
      </w:r>
      <w:r w:rsidR="00B05565" w:rsidRPr="00C94F64">
        <w:t>Needleman</w:t>
      </w:r>
      <w:r w:rsidR="00703981">
        <w:t xml:space="preserve"> SB and </w:t>
      </w:r>
      <w:r w:rsidR="00B05565">
        <w:t>Wunsch</w:t>
      </w:r>
      <w:r w:rsidR="00703981">
        <w:t xml:space="preserve"> CD</w:t>
      </w:r>
      <w:r w:rsidR="00B05565">
        <w:t xml:space="preserve">. </w:t>
      </w:r>
      <w:r w:rsidR="00B05565" w:rsidRPr="00C94F64">
        <w:t xml:space="preserve">A general method applicable to the search for similarities in the amino </w:t>
      </w:r>
      <w:r w:rsidR="00B05565">
        <w:t xml:space="preserve">acid sequence of two proteins. </w:t>
      </w:r>
      <w:r w:rsidR="0003323B">
        <w:t>J Mol Biol</w:t>
      </w:r>
      <w:r w:rsidR="00703981">
        <w:rPr>
          <w:rStyle w:val="highlight"/>
          <w:color w:val="0000FF"/>
          <w:u w:val="single"/>
        </w:rPr>
        <w:t>l</w:t>
      </w:r>
      <w:r w:rsidR="00703981" w:rsidRPr="0003323B">
        <w:t>.</w:t>
      </w:r>
      <w:r w:rsidR="00703981">
        <w:t xml:space="preserve"> </w:t>
      </w:r>
      <w:r w:rsidR="00703981">
        <w:rPr>
          <w:rStyle w:val="highlight"/>
        </w:rPr>
        <w:t>1970</w:t>
      </w:r>
      <w:r w:rsidR="00703981">
        <w:t xml:space="preserve"> Mar;</w:t>
      </w:r>
      <w:r w:rsidR="00703981">
        <w:rPr>
          <w:rStyle w:val="highlight"/>
        </w:rPr>
        <w:t>48</w:t>
      </w:r>
      <w:r w:rsidR="00703981">
        <w:t>(</w:t>
      </w:r>
      <w:r w:rsidR="00703981">
        <w:rPr>
          <w:rStyle w:val="highlight"/>
        </w:rPr>
        <w:t>3</w:t>
      </w:r>
      <w:r w:rsidR="00703981">
        <w:t>):443-53</w:t>
      </w:r>
    </w:p>
    <w:p w14:paraId="4F1513E6" w14:textId="32EAF7B8" w:rsidR="007310EF" w:rsidRPr="00703981" w:rsidRDefault="009708D1" w:rsidP="00C81FAB">
      <w:pPr>
        <w:pStyle w:val="Reference"/>
      </w:pPr>
      <w:r>
        <w:t xml:space="preserve">8. </w:t>
      </w:r>
      <w:r w:rsidR="007310EF" w:rsidRPr="00703981">
        <w:t>Henikoff S, Henikoff JG. Amino acid substitution matrices from protein blocks. Proc Natl Acad Sci U S A. 1992 Nov 15;89(22):10915-9</w:t>
      </w:r>
    </w:p>
    <w:p w14:paraId="4F713234" w14:textId="7B2E10D4" w:rsidR="00866249" w:rsidRDefault="009708D1" w:rsidP="00C81FAB">
      <w:pPr>
        <w:pStyle w:val="Reference"/>
      </w:pPr>
      <w:r>
        <w:t xml:space="preserve">9. </w:t>
      </w:r>
      <w:r w:rsidR="00703981" w:rsidRPr="00703981">
        <w:t>Haas BJ, Delcher AL, Mount SM, Wortman JR, Smith RK Jr, Hannick LI, Maiti R, Ronning CM, Rusch DB, Town CD, Salzberg SL, White O.</w:t>
      </w:r>
      <w:r w:rsidR="00703981">
        <w:t xml:space="preserve"> </w:t>
      </w:r>
      <w:r w:rsidR="00BD58A5" w:rsidRPr="00B05565">
        <w:t xml:space="preserve">Improving the Arabidopsis </w:t>
      </w:r>
      <w:r w:rsidR="00866249" w:rsidRPr="00B05565">
        <w:t xml:space="preserve">genome annotation using maximal transcript alignment assemblies. </w:t>
      </w:r>
      <w:r w:rsidR="0003323B" w:rsidRPr="00703981">
        <w:t>Nucleic Acids Res.</w:t>
      </w:r>
      <w:r w:rsidR="0003323B">
        <w:t xml:space="preserve"> </w:t>
      </w:r>
      <w:r w:rsidR="00703981">
        <w:t xml:space="preserve">2003 </w:t>
      </w:r>
      <w:r w:rsidR="00703981">
        <w:rPr>
          <w:rStyle w:val="highlight"/>
        </w:rPr>
        <w:t>Oct</w:t>
      </w:r>
      <w:r w:rsidR="00703981">
        <w:t xml:space="preserve"> 1;</w:t>
      </w:r>
      <w:r w:rsidR="00703981">
        <w:rPr>
          <w:rStyle w:val="highlight"/>
        </w:rPr>
        <w:t>31</w:t>
      </w:r>
      <w:r w:rsidR="00703981">
        <w:t>(</w:t>
      </w:r>
      <w:r w:rsidR="00703981">
        <w:rPr>
          <w:rStyle w:val="highlight"/>
        </w:rPr>
        <w:t>19</w:t>
      </w:r>
      <w:r w:rsidR="00703981">
        <w:t>):5654-66.</w:t>
      </w:r>
    </w:p>
    <w:p w14:paraId="594D69FB" w14:textId="31487DB1" w:rsidR="00292CC1" w:rsidRPr="00292CC1" w:rsidRDefault="009708D1" w:rsidP="00C81FAB">
      <w:pPr>
        <w:pStyle w:val="Reference"/>
      </w:pPr>
      <w:r>
        <w:t xml:space="preserve">10. </w:t>
      </w:r>
      <w:r w:rsidR="00292CC1" w:rsidRPr="0069740F">
        <w:t>Staden</w:t>
      </w:r>
      <w:r w:rsidR="00703981">
        <w:t xml:space="preserve"> R</w:t>
      </w:r>
      <w:r w:rsidR="00292CC1" w:rsidRPr="0069740F">
        <w:t>. Computer methods to locate signals in nucleic acid sequences.</w:t>
      </w:r>
      <w:r w:rsidR="00292CC1">
        <w:t xml:space="preserve"> </w:t>
      </w:r>
      <w:r w:rsidR="00703981" w:rsidRPr="00703981">
        <w:t>Nucleic Acids Res. 1984 Jan 11;12(1 Pt 2):505-19</w:t>
      </w:r>
      <w:r w:rsidR="00703981">
        <w:t>.</w:t>
      </w:r>
    </w:p>
    <w:p w14:paraId="28CD4D6B" w14:textId="450ABFB3" w:rsidR="007310EF" w:rsidRPr="00292CC1" w:rsidRDefault="009708D1" w:rsidP="00C81FAB">
      <w:pPr>
        <w:pStyle w:val="Reference"/>
        <w:rPr>
          <w:color w:val="000000"/>
        </w:rPr>
      </w:pPr>
      <w:r>
        <w:rPr>
          <w:color w:val="000000"/>
        </w:rPr>
        <w:t xml:space="preserve">11. </w:t>
      </w:r>
      <w:r w:rsidR="007310EF" w:rsidRPr="0069740F">
        <w:rPr>
          <w:color w:val="000000"/>
        </w:rPr>
        <w:t>Zhang</w:t>
      </w:r>
      <w:r w:rsidR="009F2739">
        <w:rPr>
          <w:color w:val="000000"/>
        </w:rPr>
        <w:t xml:space="preserve"> MQ</w:t>
      </w:r>
      <w:r w:rsidR="007310EF" w:rsidRPr="0069740F">
        <w:rPr>
          <w:color w:val="000000"/>
          <w:spacing w:val="24"/>
        </w:rPr>
        <w:t xml:space="preserve"> </w:t>
      </w:r>
      <w:r w:rsidR="007310EF" w:rsidRPr="0069740F">
        <w:rPr>
          <w:color w:val="000000"/>
        </w:rPr>
        <w:t>and</w:t>
      </w:r>
      <w:r w:rsidR="009F2739">
        <w:rPr>
          <w:color w:val="000000"/>
          <w:spacing w:val="33"/>
        </w:rPr>
        <w:t xml:space="preserve"> </w:t>
      </w:r>
      <w:r w:rsidR="007310EF" w:rsidRPr="0069740F">
        <w:rPr>
          <w:color w:val="000000"/>
        </w:rPr>
        <w:t>Marr</w:t>
      </w:r>
      <w:r w:rsidR="009F2739">
        <w:rPr>
          <w:color w:val="000000"/>
        </w:rPr>
        <w:t xml:space="preserve"> TG.</w:t>
      </w:r>
      <w:r w:rsidR="007310EF" w:rsidRPr="0069740F">
        <w:rPr>
          <w:color w:val="000000"/>
          <w:spacing w:val="9"/>
        </w:rPr>
        <w:t xml:space="preserve"> </w:t>
      </w:r>
      <w:r w:rsidR="007310EF" w:rsidRPr="0069740F">
        <w:rPr>
          <w:color w:val="000000"/>
        </w:rPr>
        <w:t>A</w:t>
      </w:r>
      <w:r w:rsidR="007310EF" w:rsidRPr="0069740F">
        <w:rPr>
          <w:color w:val="000000"/>
          <w:spacing w:val="9"/>
        </w:rPr>
        <w:t xml:space="preserve"> </w:t>
      </w:r>
      <w:r w:rsidR="0086014A">
        <w:rPr>
          <w:color w:val="000000"/>
          <w:spacing w:val="-6"/>
          <w:w w:val="97"/>
        </w:rPr>
        <w:t xml:space="preserve">weight </w:t>
      </w:r>
      <w:r w:rsidR="007310EF" w:rsidRPr="009F2739">
        <w:rPr>
          <w:color w:val="000000"/>
        </w:rPr>
        <w:t>arr</w:t>
      </w:r>
      <w:r w:rsidR="007310EF" w:rsidRPr="009F2739">
        <w:rPr>
          <w:color w:val="000000"/>
          <w:spacing w:val="-6"/>
        </w:rPr>
        <w:t>a</w:t>
      </w:r>
      <w:r w:rsidR="007310EF" w:rsidRPr="009F2739">
        <w:rPr>
          <w:color w:val="000000"/>
        </w:rPr>
        <w:t>y</w:t>
      </w:r>
      <w:r w:rsidR="007310EF" w:rsidRPr="009F2739">
        <w:rPr>
          <w:color w:val="000000"/>
          <w:spacing w:val="34"/>
        </w:rPr>
        <w:t xml:space="preserve"> </w:t>
      </w:r>
      <w:r w:rsidR="0086014A">
        <w:rPr>
          <w:color w:val="000000"/>
          <w:w w:val="102"/>
        </w:rPr>
        <w:t>met</w:t>
      </w:r>
      <w:r w:rsidR="007310EF" w:rsidRPr="009F2739">
        <w:rPr>
          <w:color w:val="000000"/>
          <w:w w:val="102"/>
        </w:rPr>
        <w:t>h</w:t>
      </w:r>
      <w:r w:rsidR="007310EF" w:rsidRPr="009F2739">
        <w:rPr>
          <w:color w:val="000000"/>
          <w:spacing w:val="7"/>
          <w:w w:val="102"/>
        </w:rPr>
        <w:t>o</w:t>
      </w:r>
      <w:r w:rsidR="007310EF" w:rsidRPr="009F2739">
        <w:rPr>
          <w:color w:val="000000"/>
          <w:w w:val="108"/>
        </w:rPr>
        <w:t>d</w:t>
      </w:r>
      <w:r w:rsidR="007310EF" w:rsidRPr="0069740F">
        <w:rPr>
          <w:color w:val="000000"/>
          <w:spacing w:val="8"/>
          <w:w w:val="108"/>
        </w:rPr>
        <w:t xml:space="preserve"> </w:t>
      </w:r>
      <w:r w:rsidR="007310EF" w:rsidRPr="0069740F">
        <w:rPr>
          <w:color w:val="000000"/>
        </w:rPr>
        <w:t>for</w:t>
      </w:r>
      <w:r w:rsidR="007310EF" w:rsidRPr="0069740F">
        <w:rPr>
          <w:color w:val="000000"/>
          <w:spacing w:val="7"/>
        </w:rPr>
        <w:t xml:space="preserve"> </w:t>
      </w:r>
      <w:r w:rsidR="007310EF" w:rsidRPr="0069740F">
        <w:rPr>
          <w:color w:val="000000"/>
        </w:rPr>
        <w:t>splicing</w:t>
      </w:r>
      <w:r w:rsidR="007310EF" w:rsidRPr="0069740F">
        <w:rPr>
          <w:color w:val="000000"/>
          <w:spacing w:val="16"/>
        </w:rPr>
        <w:t xml:space="preserve"> </w:t>
      </w:r>
      <w:r w:rsidR="007310EF" w:rsidRPr="0069740F">
        <w:rPr>
          <w:color w:val="000000"/>
        </w:rPr>
        <w:t xml:space="preserve">signal </w:t>
      </w:r>
      <w:r w:rsidR="007310EF" w:rsidRPr="0069740F">
        <w:rPr>
          <w:color w:val="000000"/>
          <w:w w:val="109"/>
        </w:rPr>
        <w:t>ana</w:t>
      </w:r>
      <w:r w:rsidR="007310EF" w:rsidRPr="0069740F">
        <w:rPr>
          <w:color w:val="000000"/>
        </w:rPr>
        <w:t>lysis.</w:t>
      </w:r>
      <w:r w:rsidR="007310EF" w:rsidRPr="0069740F">
        <w:rPr>
          <w:color w:val="000000"/>
          <w:spacing w:val="22"/>
        </w:rPr>
        <w:t xml:space="preserve"> </w:t>
      </w:r>
      <w:r w:rsidR="007310EF" w:rsidRPr="0069740F">
        <w:rPr>
          <w:color w:val="000000"/>
        </w:rPr>
        <w:t>Computer appli</w:t>
      </w:r>
      <w:r w:rsidR="007310EF" w:rsidRPr="0069740F">
        <w:rPr>
          <w:color w:val="000000"/>
          <w:spacing w:val="-12"/>
        </w:rPr>
        <w:t>c</w:t>
      </w:r>
      <w:r w:rsidR="007310EF" w:rsidRPr="0069740F">
        <w:rPr>
          <w:color w:val="000000"/>
        </w:rPr>
        <w:t>ations</w:t>
      </w:r>
      <w:r w:rsidR="007310EF" w:rsidRPr="0069740F">
        <w:rPr>
          <w:color w:val="000000"/>
          <w:spacing w:val="2"/>
        </w:rPr>
        <w:t xml:space="preserve"> </w:t>
      </w:r>
      <w:r w:rsidR="007310EF" w:rsidRPr="0069740F">
        <w:rPr>
          <w:color w:val="000000"/>
        </w:rPr>
        <w:t>in</w:t>
      </w:r>
      <w:r w:rsidR="007310EF" w:rsidRPr="0069740F">
        <w:rPr>
          <w:color w:val="000000"/>
          <w:spacing w:val="23"/>
        </w:rPr>
        <w:t xml:space="preserve"> </w:t>
      </w:r>
      <w:r w:rsidR="007310EF" w:rsidRPr="0069740F">
        <w:rPr>
          <w:color w:val="000000"/>
        </w:rPr>
        <w:t>the</w:t>
      </w:r>
      <w:r w:rsidR="007310EF" w:rsidRPr="0069740F">
        <w:rPr>
          <w:color w:val="000000"/>
          <w:spacing w:val="21"/>
        </w:rPr>
        <w:t xml:space="preserve"> </w:t>
      </w:r>
      <w:r w:rsidR="007310EF" w:rsidRPr="0069740F">
        <w:rPr>
          <w:color w:val="000000"/>
        </w:rPr>
        <w:t>bioscien</w:t>
      </w:r>
      <w:r w:rsidR="007310EF" w:rsidRPr="0069740F">
        <w:rPr>
          <w:color w:val="000000"/>
          <w:spacing w:val="-12"/>
        </w:rPr>
        <w:t>c</w:t>
      </w:r>
      <w:r w:rsidR="007310EF" w:rsidRPr="0069740F">
        <w:rPr>
          <w:color w:val="000000"/>
        </w:rPr>
        <w:t>es</w:t>
      </w:r>
      <w:r w:rsidR="009F2739">
        <w:rPr>
          <w:color w:val="000000"/>
        </w:rPr>
        <w:t>.</w:t>
      </w:r>
      <w:r w:rsidR="009F2739" w:rsidRPr="009F2739">
        <w:t xml:space="preserve"> </w:t>
      </w:r>
      <w:r w:rsidR="009F2739" w:rsidRPr="009F2739">
        <w:rPr>
          <w:color w:val="000000"/>
        </w:rPr>
        <w:t>Comput Appl Biosci. 1993 Oct;9(5):499-509</w:t>
      </w:r>
      <w:r w:rsidR="009F2739">
        <w:rPr>
          <w:color w:val="000000"/>
        </w:rPr>
        <w:t>.</w:t>
      </w:r>
    </w:p>
    <w:p w14:paraId="3244F12F" w14:textId="48690C0B" w:rsidR="00866249" w:rsidRPr="0069740F" w:rsidRDefault="009708D1" w:rsidP="00C81FAB">
      <w:pPr>
        <w:pStyle w:val="Reference"/>
        <w:rPr>
          <w:color w:val="000000"/>
        </w:rPr>
      </w:pPr>
      <w:r>
        <w:rPr>
          <w:color w:val="000000"/>
        </w:rPr>
        <w:t xml:space="preserve">12. </w:t>
      </w:r>
      <w:r w:rsidR="00866249" w:rsidRPr="0069740F">
        <w:rPr>
          <w:color w:val="000000"/>
        </w:rPr>
        <w:t>Kozak</w:t>
      </w:r>
      <w:r w:rsidR="009F2739">
        <w:rPr>
          <w:color w:val="000000"/>
        </w:rPr>
        <w:t xml:space="preserve"> M</w:t>
      </w:r>
      <w:r w:rsidR="00866249" w:rsidRPr="0069740F">
        <w:rPr>
          <w:color w:val="000000"/>
        </w:rPr>
        <w:t xml:space="preserve">. </w:t>
      </w:r>
      <w:r w:rsidR="00866249" w:rsidRPr="0069740F">
        <w:rPr>
          <w:color w:val="000000"/>
          <w:spacing w:val="45"/>
        </w:rPr>
        <w:t xml:space="preserve"> </w:t>
      </w:r>
      <w:r w:rsidR="00866249" w:rsidRPr="0069740F">
        <w:rPr>
          <w:color w:val="000000"/>
        </w:rPr>
        <w:t>Compil</w:t>
      </w:r>
      <w:r w:rsidR="00866249" w:rsidRPr="0069740F">
        <w:rPr>
          <w:color w:val="000000"/>
          <w:spacing w:val="1"/>
        </w:rPr>
        <w:t>a</w:t>
      </w:r>
      <w:r w:rsidR="00866249" w:rsidRPr="0069740F">
        <w:rPr>
          <w:color w:val="000000"/>
        </w:rPr>
        <w:t>tion and anal</w:t>
      </w:r>
      <w:r w:rsidR="00866249" w:rsidRPr="0069740F">
        <w:rPr>
          <w:color w:val="000000"/>
          <w:spacing w:val="1"/>
        </w:rPr>
        <w:t>y</w:t>
      </w:r>
      <w:r w:rsidR="00866249" w:rsidRPr="0069740F">
        <w:rPr>
          <w:color w:val="000000"/>
        </w:rPr>
        <w:t>sis</w:t>
      </w:r>
      <w:r w:rsidR="00866249" w:rsidRPr="0069740F">
        <w:rPr>
          <w:color w:val="000000"/>
          <w:spacing w:val="43"/>
        </w:rPr>
        <w:t xml:space="preserve"> </w:t>
      </w:r>
      <w:r w:rsidR="00866249" w:rsidRPr="0069740F">
        <w:rPr>
          <w:color w:val="000000"/>
        </w:rPr>
        <w:t>of</w:t>
      </w:r>
      <w:r w:rsidR="00866249" w:rsidRPr="0069740F">
        <w:rPr>
          <w:color w:val="000000"/>
          <w:spacing w:val="17"/>
        </w:rPr>
        <w:t xml:space="preserve"> </w:t>
      </w:r>
      <w:r w:rsidR="00866249" w:rsidRPr="0069740F">
        <w:rPr>
          <w:color w:val="000000"/>
        </w:rPr>
        <w:t>sequences</w:t>
      </w:r>
      <w:r w:rsidR="00866249" w:rsidRPr="0069740F">
        <w:rPr>
          <w:color w:val="000000"/>
          <w:spacing w:val="36"/>
        </w:rPr>
        <w:t xml:space="preserve"> </w:t>
      </w:r>
      <w:r w:rsidR="00866249" w:rsidRPr="0069740F">
        <w:rPr>
          <w:color w:val="000000"/>
        </w:rPr>
        <w:t>upstream from</w:t>
      </w:r>
      <w:r w:rsidR="00866249" w:rsidRPr="0069740F">
        <w:rPr>
          <w:color w:val="000000"/>
          <w:spacing w:val="32"/>
        </w:rPr>
        <w:t xml:space="preserve"> </w:t>
      </w:r>
      <w:r w:rsidR="00866249" w:rsidRPr="0069740F">
        <w:rPr>
          <w:color w:val="000000"/>
          <w:w w:val="110"/>
        </w:rPr>
        <w:t>the</w:t>
      </w:r>
      <w:r w:rsidR="00866249" w:rsidRPr="0069740F">
        <w:rPr>
          <w:color w:val="000000"/>
          <w:spacing w:val="-4"/>
          <w:w w:val="110"/>
        </w:rPr>
        <w:t xml:space="preserve"> </w:t>
      </w:r>
      <w:r w:rsidR="00866249" w:rsidRPr="0069740F">
        <w:rPr>
          <w:color w:val="000000"/>
          <w:w w:val="118"/>
        </w:rPr>
        <w:t>tra</w:t>
      </w:r>
      <w:r w:rsidR="00866249" w:rsidRPr="0069740F">
        <w:rPr>
          <w:color w:val="000000"/>
          <w:w w:val="105"/>
        </w:rPr>
        <w:t>nslati</w:t>
      </w:r>
      <w:r w:rsidR="00866249" w:rsidRPr="0069740F">
        <w:rPr>
          <w:color w:val="000000"/>
          <w:spacing w:val="1"/>
          <w:w w:val="105"/>
        </w:rPr>
        <w:t>o</w:t>
      </w:r>
      <w:r w:rsidR="00866249" w:rsidRPr="0069740F">
        <w:rPr>
          <w:color w:val="000000"/>
          <w:w w:val="106"/>
        </w:rPr>
        <w:t>nal</w:t>
      </w:r>
      <w:r w:rsidR="00866249" w:rsidRPr="0069740F">
        <w:rPr>
          <w:color w:val="000000"/>
        </w:rPr>
        <w:t xml:space="preserve"> start site</w:t>
      </w:r>
      <w:r w:rsidR="00866249" w:rsidRPr="0069740F">
        <w:rPr>
          <w:color w:val="000000"/>
          <w:spacing w:val="35"/>
        </w:rPr>
        <w:t xml:space="preserve"> </w:t>
      </w:r>
      <w:r w:rsidR="00866249" w:rsidRPr="0069740F">
        <w:rPr>
          <w:color w:val="000000"/>
        </w:rPr>
        <w:t>in</w:t>
      </w:r>
      <w:r w:rsidR="00866249" w:rsidRPr="0069740F">
        <w:rPr>
          <w:color w:val="000000"/>
          <w:spacing w:val="27"/>
        </w:rPr>
        <w:t xml:space="preserve"> </w:t>
      </w:r>
      <w:r w:rsidR="00866249" w:rsidRPr="0069740F">
        <w:rPr>
          <w:color w:val="000000"/>
        </w:rPr>
        <w:t>eu</w:t>
      </w:r>
      <w:r w:rsidR="00866249" w:rsidRPr="0069740F">
        <w:rPr>
          <w:color w:val="000000"/>
          <w:spacing w:val="-12"/>
        </w:rPr>
        <w:t>k</w:t>
      </w:r>
      <w:r w:rsidR="00866249" w:rsidRPr="0069740F">
        <w:rPr>
          <w:color w:val="000000"/>
        </w:rPr>
        <w:t>ar</w:t>
      </w:r>
      <w:r w:rsidR="00866249" w:rsidRPr="0069740F">
        <w:rPr>
          <w:color w:val="000000"/>
          <w:spacing w:val="-6"/>
        </w:rPr>
        <w:t>y</w:t>
      </w:r>
      <w:r w:rsidR="00866249" w:rsidRPr="0069740F">
        <w:rPr>
          <w:color w:val="000000"/>
        </w:rPr>
        <w:t>otic</w:t>
      </w:r>
      <w:r w:rsidR="00866249" w:rsidRPr="0069740F">
        <w:rPr>
          <w:color w:val="000000"/>
          <w:spacing w:val="1"/>
        </w:rPr>
        <w:t xml:space="preserve"> </w:t>
      </w:r>
      <w:r w:rsidR="009F2739">
        <w:rPr>
          <w:color w:val="000000"/>
        </w:rPr>
        <w:t xml:space="preserve">mRNAs. </w:t>
      </w:r>
      <w:r w:rsidR="009F2739" w:rsidRPr="009F2739">
        <w:rPr>
          <w:color w:val="000000"/>
        </w:rPr>
        <w:t>Nucleic Acids Res. 1984 Jan 25;12(2):857-72.</w:t>
      </w:r>
    </w:p>
    <w:p w14:paraId="4E162ACF" w14:textId="00FFEFEC" w:rsidR="00B34F4F" w:rsidRDefault="009708D1" w:rsidP="00C81FAB">
      <w:pPr>
        <w:pStyle w:val="Reference"/>
        <w:rPr>
          <w:color w:val="000000"/>
        </w:rPr>
      </w:pPr>
      <w:r>
        <w:rPr>
          <w:color w:val="000000"/>
        </w:rPr>
        <w:t xml:space="preserve">13. </w:t>
      </w:r>
      <w:r w:rsidR="00866249" w:rsidRPr="0069740F">
        <w:rPr>
          <w:color w:val="000000"/>
        </w:rPr>
        <w:t>Bor</w:t>
      </w:r>
      <w:r w:rsidR="00866249" w:rsidRPr="0069740F">
        <w:rPr>
          <w:color w:val="000000"/>
          <w:spacing w:val="7"/>
        </w:rPr>
        <w:t>o</w:t>
      </w:r>
      <w:r w:rsidR="00866249" w:rsidRPr="0069740F">
        <w:rPr>
          <w:color w:val="000000"/>
        </w:rPr>
        <w:t>d</w:t>
      </w:r>
      <w:r w:rsidR="00866249" w:rsidRPr="0069740F">
        <w:rPr>
          <w:color w:val="000000"/>
          <w:spacing w:val="-6"/>
        </w:rPr>
        <w:t>o</w:t>
      </w:r>
      <w:r w:rsidR="00866249" w:rsidRPr="0069740F">
        <w:rPr>
          <w:color w:val="000000"/>
        </w:rPr>
        <w:t>vsky</w:t>
      </w:r>
      <w:r w:rsidR="0003323B">
        <w:rPr>
          <w:color w:val="000000"/>
        </w:rPr>
        <w:t xml:space="preserve"> M</w:t>
      </w:r>
      <w:r w:rsidR="00866249" w:rsidRPr="0069740F">
        <w:rPr>
          <w:color w:val="000000"/>
          <w:spacing w:val="6"/>
        </w:rPr>
        <w:t xml:space="preserve"> </w:t>
      </w:r>
      <w:r w:rsidR="00866249" w:rsidRPr="0069740F">
        <w:rPr>
          <w:color w:val="000000"/>
        </w:rPr>
        <w:t>and</w:t>
      </w:r>
      <w:r w:rsidR="00866249" w:rsidRPr="0069740F">
        <w:rPr>
          <w:color w:val="000000"/>
          <w:spacing w:val="20"/>
        </w:rPr>
        <w:t xml:space="preserve"> </w:t>
      </w:r>
      <w:r w:rsidR="00866249" w:rsidRPr="0069740F">
        <w:rPr>
          <w:color w:val="000000"/>
        </w:rPr>
        <w:t>McInin</w:t>
      </w:r>
      <w:r w:rsidR="00866249" w:rsidRPr="0069740F">
        <w:rPr>
          <w:color w:val="000000"/>
          <w:spacing w:val="-6"/>
        </w:rPr>
        <w:t>c</w:t>
      </w:r>
      <w:r w:rsidR="00866249" w:rsidRPr="0069740F">
        <w:rPr>
          <w:color w:val="000000"/>
        </w:rPr>
        <w:t>h</w:t>
      </w:r>
      <w:r w:rsidR="0003323B">
        <w:rPr>
          <w:color w:val="000000"/>
        </w:rPr>
        <w:t xml:space="preserve"> J</w:t>
      </w:r>
      <w:r w:rsidR="00866249" w:rsidRPr="0069740F">
        <w:rPr>
          <w:color w:val="000000"/>
        </w:rPr>
        <w:t>.</w:t>
      </w:r>
      <w:r w:rsidR="0003323B">
        <w:rPr>
          <w:color w:val="000000"/>
          <w:spacing w:val="28"/>
        </w:rPr>
        <w:t xml:space="preserve"> </w:t>
      </w:r>
      <w:r w:rsidR="0003323B">
        <w:rPr>
          <w:color w:val="000000"/>
        </w:rPr>
        <w:t xml:space="preserve">GenMark: </w:t>
      </w:r>
      <w:r w:rsidR="00866249" w:rsidRPr="0069740F">
        <w:rPr>
          <w:color w:val="000000"/>
          <w:spacing w:val="-6"/>
        </w:rPr>
        <w:t>P</w:t>
      </w:r>
      <w:r w:rsidR="00866249" w:rsidRPr="0069740F">
        <w:rPr>
          <w:color w:val="000000"/>
        </w:rPr>
        <w:t>arallel</w:t>
      </w:r>
      <w:r w:rsidR="00866249" w:rsidRPr="0069740F">
        <w:rPr>
          <w:color w:val="000000"/>
          <w:spacing w:val="34"/>
        </w:rPr>
        <w:t xml:space="preserve"> </w:t>
      </w:r>
      <w:r w:rsidR="00866249" w:rsidRPr="0069740F">
        <w:rPr>
          <w:color w:val="000000"/>
        </w:rPr>
        <w:t>gene</w:t>
      </w:r>
      <w:r w:rsidR="00866249" w:rsidRPr="0069740F">
        <w:rPr>
          <w:color w:val="000000"/>
          <w:spacing w:val="-4"/>
        </w:rPr>
        <w:t xml:space="preserve"> </w:t>
      </w:r>
      <w:r w:rsidR="00866249" w:rsidRPr="0069740F">
        <w:rPr>
          <w:color w:val="000000"/>
        </w:rPr>
        <w:t>recogniti</w:t>
      </w:r>
      <w:r w:rsidR="00866249" w:rsidRPr="0069740F">
        <w:rPr>
          <w:color w:val="000000"/>
          <w:spacing w:val="1"/>
        </w:rPr>
        <w:t>o</w:t>
      </w:r>
      <w:r w:rsidR="00866249" w:rsidRPr="0069740F">
        <w:rPr>
          <w:color w:val="000000"/>
        </w:rPr>
        <w:t>n</w:t>
      </w:r>
      <w:r w:rsidR="00866249" w:rsidRPr="0069740F">
        <w:rPr>
          <w:color w:val="000000"/>
          <w:spacing w:val="21"/>
        </w:rPr>
        <w:t xml:space="preserve"> </w:t>
      </w:r>
      <w:r w:rsidR="00866249" w:rsidRPr="0069740F">
        <w:rPr>
          <w:color w:val="000000"/>
        </w:rPr>
        <w:t>for</w:t>
      </w:r>
      <w:r w:rsidR="00866249" w:rsidRPr="0069740F">
        <w:rPr>
          <w:color w:val="000000"/>
          <w:spacing w:val="-2"/>
        </w:rPr>
        <w:t xml:space="preserve"> </w:t>
      </w:r>
      <w:r w:rsidR="00866249" w:rsidRPr="0069740F">
        <w:rPr>
          <w:color w:val="000000"/>
          <w:spacing w:val="7"/>
        </w:rPr>
        <w:t>b</w:t>
      </w:r>
      <w:r w:rsidR="00866249" w:rsidRPr="0069740F">
        <w:rPr>
          <w:color w:val="000000"/>
        </w:rPr>
        <w:t xml:space="preserve">oth </w:t>
      </w:r>
      <w:r w:rsidR="00866249" w:rsidRPr="0069740F">
        <w:rPr>
          <w:color w:val="000000"/>
          <w:w w:val="101"/>
        </w:rPr>
        <w:t>DNA</w:t>
      </w:r>
      <w:r w:rsidR="00866249" w:rsidRPr="0069740F">
        <w:rPr>
          <w:color w:val="000000"/>
        </w:rPr>
        <w:t xml:space="preserve"> strands. </w:t>
      </w:r>
      <w:r w:rsidR="0003323B" w:rsidRPr="0003323B">
        <w:rPr>
          <w:color w:val="000000"/>
        </w:rPr>
        <w:t>Computers &amp; Chemistry</w:t>
      </w:r>
      <w:r w:rsidR="0003323B">
        <w:rPr>
          <w:color w:val="000000"/>
        </w:rPr>
        <w:t>. 1993;</w:t>
      </w:r>
      <w:r w:rsidR="00866249" w:rsidRPr="0069740F">
        <w:rPr>
          <w:color w:val="000000"/>
        </w:rPr>
        <w:t>17</w:t>
      </w:r>
      <w:r w:rsidR="0003323B">
        <w:rPr>
          <w:color w:val="000000"/>
        </w:rPr>
        <w:t>(2)</w:t>
      </w:r>
      <w:r w:rsidR="00866249" w:rsidRPr="0069740F">
        <w:rPr>
          <w:color w:val="000000"/>
        </w:rPr>
        <w:t>:1</w:t>
      </w:r>
      <w:r w:rsidR="00866249" w:rsidRPr="0069740F">
        <w:rPr>
          <w:color w:val="000000"/>
          <w:spacing w:val="1"/>
        </w:rPr>
        <w:t>2</w:t>
      </w:r>
      <w:r w:rsidR="0003323B">
        <w:rPr>
          <w:color w:val="000000"/>
        </w:rPr>
        <w:t>3-33</w:t>
      </w:r>
      <w:r w:rsidR="00866249" w:rsidRPr="0069740F">
        <w:rPr>
          <w:color w:val="000000"/>
        </w:rPr>
        <w:t>.</w:t>
      </w:r>
    </w:p>
    <w:p w14:paraId="142E9844" w14:textId="75A3CFC0" w:rsidR="00B34F4F" w:rsidRPr="00B34F4F" w:rsidRDefault="009708D1" w:rsidP="00C81FAB">
      <w:pPr>
        <w:pStyle w:val="Reference"/>
        <w:rPr>
          <w:color w:val="000000"/>
        </w:rPr>
      </w:pPr>
      <w:r>
        <w:rPr>
          <w:color w:val="000000"/>
        </w:rPr>
        <w:t xml:space="preserve">14. </w:t>
      </w:r>
      <w:r w:rsidR="00B34F4F" w:rsidRPr="006A6442">
        <w:rPr>
          <w:color w:val="000000"/>
        </w:rPr>
        <w:t>Morgulis A, Gertz EM, Schäffer AA, Agarwala R.</w:t>
      </w:r>
      <w:hyperlink r:id="rId40" w:tgtFrame="_blank" w:history="1">
        <w:r w:rsidR="00B34F4F" w:rsidRPr="006A6442">
          <w:rPr>
            <w:color w:val="000000"/>
          </w:rPr>
          <w:t xml:space="preserve"> </w:t>
        </w:r>
        <w:r w:rsidR="0086014A" w:rsidRPr="0086014A">
          <w:rPr>
            <w:color w:val="000000"/>
          </w:rPr>
          <w:t>WindowMasker: window-based masker for sequenced genomes.</w:t>
        </w:r>
        <w:r w:rsidR="0086014A">
          <w:rPr>
            <w:color w:val="000000"/>
          </w:rPr>
          <w:t xml:space="preserve"> </w:t>
        </w:r>
        <w:r w:rsidR="0003323B" w:rsidRPr="0003323B">
          <w:rPr>
            <w:color w:val="000000"/>
          </w:rPr>
          <w:t>Bioinformatics. 2006 Jan 15;22(2):134-41</w:t>
        </w:r>
      </w:hyperlink>
    </w:p>
    <w:p w14:paraId="65675D94" w14:textId="28660099" w:rsidR="00B34F4F" w:rsidRPr="006A6442" w:rsidRDefault="009708D1" w:rsidP="00C81FAB">
      <w:pPr>
        <w:pStyle w:val="Reference"/>
      </w:pPr>
      <w:r>
        <w:rPr>
          <w:color w:val="000000"/>
        </w:rPr>
        <w:t xml:space="preserve">15. </w:t>
      </w:r>
      <w:r w:rsidR="00B34F4F" w:rsidRPr="006A6442">
        <w:rPr>
          <w:color w:val="000000"/>
        </w:rPr>
        <w:t xml:space="preserve">Smit AFA, Hubley R, Green P. RepeatMasker Open-3.0. 1996–2004. </w:t>
      </w:r>
      <w:hyperlink r:id="rId41" w:tgtFrame="pmc_ext" w:history="1">
        <w:r w:rsidR="00B34F4F" w:rsidRPr="006A6442">
          <w:rPr>
            <w:color w:val="000000"/>
          </w:rPr>
          <w:t>http://www.repeatmasker.org</w:t>
        </w:r>
      </w:hyperlink>
    </w:p>
    <w:p w14:paraId="6697913B" w14:textId="6C31B8BC" w:rsidR="00B34F4F" w:rsidRPr="006A6442" w:rsidRDefault="009708D1" w:rsidP="00C81FAB">
      <w:pPr>
        <w:pStyle w:val="Reference"/>
        <w:rPr>
          <w:color w:val="000000"/>
        </w:rPr>
      </w:pPr>
      <w:r>
        <w:rPr>
          <w:color w:val="000000"/>
        </w:rPr>
        <w:t xml:space="preserve">16. </w:t>
      </w:r>
      <w:r w:rsidR="0003323B">
        <w:rPr>
          <w:color w:val="000000"/>
        </w:rPr>
        <w:t>Lowe TM and Eddy</w:t>
      </w:r>
      <w:r w:rsidR="00B34F4F" w:rsidRPr="006A6442">
        <w:rPr>
          <w:color w:val="000000"/>
        </w:rPr>
        <w:t xml:space="preserve"> SR. </w:t>
      </w:r>
      <w:r w:rsidR="0003323B" w:rsidRPr="0003323B">
        <w:rPr>
          <w:color w:val="000000"/>
        </w:rPr>
        <w:t xml:space="preserve">Nucleic Acids Res. </w:t>
      </w:r>
      <w:r w:rsidR="0086014A" w:rsidRPr="0086014A">
        <w:rPr>
          <w:color w:val="000000"/>
        </w:rPr>
        <w:t>tRNAscan-SE: a program for improved detection of transfer RNA genes in genomic sequence.</w:t>
      </w:r>
      <w:r w:rsidR="0086014A">
        <w:rPr>
          <w:color w:val="000000"/>
        </w:rPr>
        <w:t xml:space="preserve"> </w:t>
      </w:r>
      <w:r w:rsidR="0003323B" w:rsidRPr="0003323B">
        <w:rPr>
          <w:color w:val="000000"/>
        </w:rPr>
        <w:t>1997 Mar 1;25(5):955-64.</w:t>
      </w:r>
    </w:p>
    <w:p w14:paraId="1BACBD61" w14:textId="4A88E541" w:rsidR="00AA011B" w:rsidRDefault="009708D1" w:rsidP="00C81FAB">
      <w:pPr>
        <w:pStyle w:val="Reference"/>
        <w:rPr>
          <w:color w:val="000000"/>
        </w:rPr>
      </w:pPr>
      <w:r>
        <w:rPr>
          <w:color w:val="000000"/>
        </w:rPr>
        <w:t xml:space="preserve">17. </w:t>
      </w:r>
      <w:r w:rsidR="00BD58A5" w:rsidRPr="006A6442">
        <w:rPr>
          <w:color w:val="000000"/>
        </w:rPr>
        <w:t xml:space="preserve">Griffiths-Jones S. </w:t>
      </w:r>
      <w:r w:rsidR="0086014A" w:rsidRPr="0086014A">
        <w:rPr>
          <w:color w:val="000000"/>
        </w:rPr>
        <w:t>The microRNA Registry</w:t>
      </w:r>
      <w:r w:rsidR="0086014A">
        <w:rPr>
          <w:color w:val="000000"/>
        </w:rPr>
        <w:t xml:space="preserve">. </w:t>
      </w:r>
      <w:r w:rsidR="0003323B" w:rsidRPr="0003323B">
        <w:rPr>
          <w:color w:val="000000"/>
        </w:rPr>
        <w:t>Nucleic Acids Res. 2004 Jan 1;32(Database issue):D109-11.</w:t>
      </w:r>
    </w:p>
    <w:p w14:paraId="75595575" w14:textId="77777777" w:rsidR="00F96E0D" w:rsidRDefault="00F96E0D" w:rsidP="00F96E0D"/>
    <w:p w14:paraId="7C58E704" w14:textId="77777777" w:rsidR="00F96E0D" w:rsidRPr="009256D4" w:rsidRDefault="00F96E0D" w:rsidP="00F96E0D">
      <w:pPr>
        <w:pStyle w:val="FiguresTablesBoxesSectionHeading"/>
      </w:pPr>
      <w:r w:rsidRPr="009256D4">
        <w:t>Figures, Tables and Boxes Appendix (do not delete)</w:t>
      </w:r>
    </w:p>
    <w:p w14:paraId="79A37478" w14:textId="77777777" w:rsidR="00F96E0D" w:rsidRPr="009256D4" w:rsidRDefault="00F96E0D" w:rsidP="00F96E0D">
      <w:pPr>
        <w:pStyle w:val="Comment"/>
      </w:pPr>
      <w:r w:rsidRPr="009256D4">
        <w:t>Place numbered figures, tables and boxes (referred to from the main text) below.</w:t>
      </w:r>
    </w:p>
    <w:p w14:paraId="0EB80EB7" w14:textId="77777777" w:rsidR="00F96E0D" w:rsidRPr="009256D4" w:rsidRDefault="00F96E0D" w:rsidP="00F96E0D">
      <w:pPr>
        <w:pStyle w:val="Comment"/>
      </w:pPr>
      <w:r w:rsidRPr="009256D4">
        <w:t>“In-line” figures (e.g. equations) and tables should be placed within the main text in their desired final location.</w:t>
      </w:r>
    </w:p>
    <w:p w14:paraId="46194458" w14:textId="77777777" w:rsidR="00F96E0D" w:rsidRPr="009256D4" w:rsidRDefault="00F96E0D" w:rsidP="00F96E0D">
      <w:pPr>
        <w:pStyle w:val="Comment"/>
      </w:pPr>
      <w:r w:rsidRPr="009256D4">
        <w:t>Boxes can have a single level of sections; the titles for these sections should be marked up in “Box subhead” style.</w:t>
      </w:r>
    </w:p>
    <w:p w14:paraId="7F3059D1" w14:textId="77777777" w:rsidR="00F96E0D" w:rsidRDefault="00F96E0D" w:rsidP="00F96E0D"/>
    <w:p w14:paraId="256E0BC3" w14:textId="77777777" w:rsidR="00F96E0D" w:rsidRDefault="00F96E0D" w:rsidP="00F96E0D">
      <w:pPr>
        <w:pStyle w:val="Figuregraphic"/>
        <w:rPr>
          <w:rFonts w:eastAsia="MS PGothic"/>
        </w:rPr>
      </w:pPr>
      <w:r>
        <w:rPr>
          <w:rFonts w:eastAsia="MS PGothic"/>
          <w:noProof/>
        </w:rPr>
        <w:drawing>
          <wp:inline distT="0" distB="0" distL="0" distR="0" wp14:anchorId="0D5F205F" wp14:editId="156990BD">
            <wp:extent cx="4029638" cy="2667372"/>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p_fig1.png"/>
                    <pic:cNvPicPr/>
                  </pic:nvPicPr>
                  <pic:blipFill>
                    <a:blip r:embed="rId42">
                      <a:extLst>
                        <a:ext uri="{28A0092B-C50C-407E-A947-70E740481C1C}">
                          <a14:useLocalDpi xmlns:a14="http://schemas.microsoft.com/office/drawing/2010/main" val="0"/>
                        </a:ext>
                      </a:extLst>
                    </a:blip>
                    <a:stretch>
                      <a:fillRect/>
                    </a:stretch>
                  </pic:blipFill>
                  <pic:spPr>
                    <a:xfrm>
                      <a:off x="0" y="0"/>
                      <a:ext cx="4029638" cy="2667372"/>
                    </a:xfrm>
                    <a:prstGeom prst="rect">
                      <a:avLst/>
                    </a:prstGeom>
                  </pic:spPr>
                </pic:pic>
              </a:graphicData>
            </a:graphic>
          </wp:inline>
        </w:drawing>
      </w:r>
    </w:p>
    <w:p w14:paraId="09C6094A" w14:textId="77777777" w:rsidR="00F96E0D" w:rsidRPr="00DE3B1F" w:rsidRDefault="00F96E0D" w:rsidP="00F96E0D">
      <w:pPr>
        <w:pStyle w:val="Figurenumberandcaption"/>
      </w:pPr>
      <w:r>
        <w:lastRenderedPageBreak/>
        <w:t>Figure 1. Splign reduces</w:t>
      </w:r>
      <w:r w:rsidRPr="00DE3B1F">
        <w:t xml:space="preserve"> the computational complexity by using the high identity portions of the hits</w:t>
      </w:r>
      <w:r>
        <w:t xml:space="preserve"> (dark blue) </w:t>
      </w:r>
      <w:r w:rsidRPr="00DE3B1F">
        <w:t>for the bulk of the alignment and realigning only small portions of the transcript</w:t>
      </w:r>
      <w:r>
        <w:t xml:space="preserve"> (light blue)</w:t>
      </w:r>
      <w:r w:rsidRPr="00DE3B1F">
        <w:t>.</w:t>
      </w:r>
    </w:p>
    <w:p w14:paraId="525FB0D8" w14:textId="77777777" w:rsidR="00F96E0D" w:rsidRDefault="00F96E0D" w:rsidP="00F96E0D"/>
    <w:p w14:paraId="24C8AB4B" w14:textId="77777777" w:rsidR="00F96E0D" w:rsidRPr="009D1764" w:rsidRDefault="00F96E0D" w:rsidP="00F96E0D">
      <w:pPr>
        <w:pStyle w:val="Figuregraphic"/>
      </w:pPr>
      <w:r>
        <w:rPr>
          <w:noProof/>
        </w:rPr>
        <w:drawing>
          <wp:inline distT="0" distB="0" distL="0" distR="0" wp14:anchorId="2124D165" wp14:editId="1C81C485">
            <wp:extent cx="4762500" cy="11143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t="20513" b="19487"/>
                    <a:stretch/>
                  </pic:blipFill>
                  <pic:spPr bwMode="auto">
                    <a:xfrm>
                      <a:off x="0" y="0"/>
                      <a:ext cx="4767580" cy="1115553"/>
                    </a:xfrm>
                    <a:prstGeom prst="rect">
                      <a:avLst/>
                    </a:prstGeom>
                    <a:noFill/>
                    <a:ln>
                      <a:noFill/>
                    </a:ln>
                    <a:extLst>
                      <a:ext uri="{53640926-AAD7-44D8-BBD7-CCE9431645EC}">
                        <a14:shadowObscured xmlns:a14="http://schemas.microsoft.com/office/drawing/2010/main"/>
                      </a:ext>
                    </a:extLst>
                  </pic:spPr>
                </pic:pic>
              </a:graphicData>
            </a:graphic>
          </wp:inline>
        </w:drawing>
      </w:r>
    </w:p>
    <w:p w14:paraId="4160297F" w14:textId="77777777" w:rsidR="00F96E0D" w:rsidRPr="007B2D33" w:rsidRDefault="00F96E0D" w:rsidP="00F96E0D">
      <w:pPr>
        <w:pStyle w:val="Figurenumberandcaption"/>
      </w:pPr>
      <w:r w:rsidRPr="007B2D33">
        <w:t>Figure 2</w:t>
      </w:r>
      <w:r>
        <w:t>.</w:t>
      </w:r>
      <w:r w:rsidRPr="007B2D33">
        <w:t xml:space="preserve"> Combining the alignments with the same introns into one alignment (micro chaining) reduce</w:t>
      </w:r>
      <w:r>
        <w:t>s</w:t>
      </w:r>
      <w:r w:rsidRPr="007B2D33">
        <w:t xml:space="preserve"> the computational complexity.</w:t>
      </w:r>
    </w:p>
    <w:p w14:paraId="3C10363F" w14:textId="77777777" w:rsidR="00F96E0D" w:rsidRDefault="00F96E0D" w:rsidP="00F96E0D"/>
    <w:p w14:paraId="363BEC21" w14:textId="77777777" w:rsidR="00F96E0D" w:rsidRDefault="00F96E0D" w:rsidP="00F96E0D">
      <w:pPr>
        <w:pStyle w:val="Figuregraphic"/>
      </w:pPr>
      <w:r>
        <w:rPr>
          <w:noProof/>
        </w:rPr>
        <w:drawing>
          <wp:inline distT="0" distB="0" distL="0" distR="0" wp14:anchorId="7B699D8C" wp14:editId="1DCDF2D5">
            <wp:extent cx="4179339" cy="131946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p_fig3.png"/>
                    <pic:cNvPicPr/>
                  </pic:nvPicPr>
                  <pic:blipFill>
                    <a:blip r:embed="rId44">
                      <a:extLst>
                        <a:ext uri="{28A0092B-C50C-407E-A947-70E740481C1C}">
                          <a14:useLocalDpi xmlns:a14="http://schemas.microsoft.com/office/drawing/2010/main" val="0"/>
                        </a:ext>
                      </a:extLst>
                    </a:blip>
                    <a:stretch>
                      <a:fillRect/>
                    </a:stretch>
                  </pic:blipFill>
                  <pic:spPr>
                    <a:xfrm>
                      <a:off x="0" y="0"/>
                      <a:ext cx="4179339" cy="1319468"/>
                    </a:xfrm>
                    <a:prstGeom prst="rect">
                      <a:avLst/>
                    </a:prstGeom>
                  </pic:spPr>
                </pic:pic>
              </a:graphicData>
            </a:graphic>
          </wp:inline>
        </w:drawing>
      </w:r>
    </w:p>
    <w:p w14:paraId="33DE8A3A" w14:textId="77777777" w:rsidR="00F96E0D" w:rsidRPr="007B2D33" w:rsidRDefault="00F96E0D" w:rsidP="00F96E0D">
      <w:pPr>
        <w:pStyle w:val="Figurenumberandcaption"/>
      </w:pPr>
      <w:r w:rsidRPr="006C3156">
        <w:t>Fig</w:t>
      </w:r>
      <w:r w:rsidRPr="007B2D33">
        <w:t xml:space="preserve">ure </w:t>
      </w:r>
      <w:r>
        <w:t>3.</w:t>
      </w:r>
      <w:r w:rsidRPr="007B2D33">
        <w:t xml:space="preserve">  Partial chains </w:t>
      </w:r>
      <w:r>
        <w:t xml:space="preserve">a </w:t>
      </w:r>
      <w:r w:rsidRPr="007B2D33">
        <w:t xml:space="preserve">and b produced by Chainer </w:t>
      </w:r>
      <w:r>
        <w:t>may</w:t>
      </w:r>
      <w:r w:rsidRPr="007B2D33">
        <w:t xml:space="preserve"> be combined into </w:t>
      </w:r>
      <w:r>
        <w:t xml:space="preserve">one </w:t>
      </w:r>
      <w:r w:rsidRPr="007B2D33">
        <w:t>chain</w:t>
      </w:r>
      <w:r>
        <w:t>,</w:t>
      </w:r>
      <w:r w:rsidRPr="007B2D33">
        <w:t xml:space="preserve"> </w:t>
      </w:r>
      <w:r>
        <w:t xml:space="preserve">c, </w:t>
      </w:r>
      <w:r w:rsidRPr="007B2D33">
        <w:t>by addition o</w:t>
      </w:r>
      <w:r>
        <w:t>f</w:t>
      </w:r>
      <w:r w:rsidRPr="007B2D33">
        <w:t xml:space="preserve"> the </w:t>
      </w:r>
      <w:r>
        <w:t>HMM prediction of</w:t>
      </w:r>
      <w:r w:rsidRPr="007B2D33">
        <w:t xml:space="preserve"> missing coding sequence. In blue: </w:t>
      </w:r>
      <w:r w:rsidRPr="006C3156">
        <w:t xml:space="preserve">coding </w:t>
      </w:r>
      <w:r w:rsidRPr="007B2D33">
        <w:t>sequence. In green: untranslated region</w:t>
      </w:r>
    </w:p>
    <w:p w14:paraId="54FDD851" w14:textId="77777777" w:rsidR="00F96E0D" w:rsidRDefault="00F96E0D" w:rsidP="00F96E0D"/>
    <w:p w14:paraId="0F6B6EE5" w14:textId="77777777" w:rsidR="00F96E0D" w:rsidRDefault="00F96E0D" w:rsidP="00F96E0D">
      <w:pPr>
        <w:pStyle w:val="Figuregraphic"/>
      </w:pPr>
      <w:r>
        <w:rPr>
          <w:noProof/>
        </w:rPr>
        <w:lastRenderedPageBreak/>
        <w:drawing>
          <wp:inline distT="0" distB="0" distL="0" distR="0" wp14:anchorId="737F027F" wp14:editId="6A8FBF0A">
            <wp:extent cx="6373115" cy="6344536"/>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peline3.png"/>
                    <pic:cNvPicPr/>
                  </pic:nvPicPr>
                  <pic:blipFill>
                    <a:blip r:embed="rId45">
                      <a:extLst>
                        <a:ext uri="{28A0092B-C50C-407E-A947-70E740481C1C}">
                          <a14:useLocalDpi xmlns:a14="http://schemas.microsoft.com/office/drawing/2010/main" val="0"/>
                        </a:ext>
                      </a:extLst>
                    </a:blip>
                    <a:stretch>
                      <a:fillRect/>
                    </a:stretch>
                  </pic:blipFill>
                  <pic:spPr>
                    <a:xfrm>
                      <a:off x="0" y="0"/>
                      <a:ext cx="6373115" cy="6344536"/>
                    </a:xfrm>
                    <a:prstGeom prst="rect">
                      <a:avLst/>
                    </a:prstGeom>
                  </pic:spPr>
                </pic:pic>
              </a:graphicData>
            </a:graphic>
          </wp:inline>
        </w:drawing>
      </w:r>
    </w:p>
    <w:p w14:paraId="2789FB6B" w14:textId="77777777" w:rsidR="00F96E0D" w:rsidRPr="00086C2E" w:rsidRDefault="00F96E0D" w:rsidP="00F96E0D">
      <w:pPr>
        <w:pStyle w:val="Figurenumberandcaption"/>
      </w:pPr>
      <w:r>
        <w:t>Figure 4. Overview of the process flow in the Eukaryotic Genome Annotation Pipeline. In grey: genomic sequence preparation; in blue: alignments of transcripts; in green: alignment of proteins; in orange: alignment of short reads; in pink: alignment of curated genomic sequences (if available); in brown: gene prediction based on all available alignments; in red: internal tracking database of RefSeq sequences; in purple: selection of the best models and protein naming; in yellow: formatting of annotation sets for deployment to public resources.</w:t>
      </w:r>
    </w:p>
    <w:p w14:paraId="29607591" w14:textId="77777777" w:rsidR="00F96E0D" w:rsidRDefault="00F96E0D" w:rsidP="00F96E0D"/>
    <w:p w14:paraId="5F045A03" w14:textId="77777777" w:rsidR="00EC4341" w:rsidRDefault="00EC4341" w:rsidP="00EC4341">
      <w:pPr>
        <w:pStyle w:val="Figuregraphic"/>
      </w:pPr>
      <w:r>
        <w:rPr>
          <w:noProof/>
        </w:rPr>
        <w:lastRenderedPageBreak/>
        <w:drawing>
          <wp:inline distT="0" distB="0" distL="0" distR="0" wp14:anchorId="5EF8E454" wp14:editId="0D5C639A">
            <wp:extent cx="6400800" cy="5132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W.png"/>
                    <pic:cNvPicPr/>
                  </pic:nvPicPr>
                  <pic:blipFill>
                    <a:blip r:embed="rId46">
                      <a:extLst>
                        <a:ext uri="{28A0092B-C50C-407E-A947-70E740481C1C}">
                          <a14:useLocalDpi xmlns:a14="http://schemas.microsoft.com/office/drawing/2010/main" val="0"/>
                        </a:ext>
                      </a:extLst>
                    </a:blip>
                    <a:stretch>
                      <a:fillRect/>
                    </a:stretch>
                  </pic:blipFill>
                  <pic:spPr>
                    <a:xfrm>
                      <a:off x="0" y="0"/>
                      <a:ext cx="6400800" cy="5132070"/>
                    </a:xfrm>
                    <a:prstGeom prst="rect">
                      <a:avLst/>
                    </a:prstGeom>
                  </pic:spPr>
                </pic:pic>
              </a:graphicData>
            </a:graphic>
          </wp:inline>
        </w:drawing>
      </w:r>
    </w:p>
    <w:p w14:paraId="44FDFDA8" w14:textId="77777777" w:rsidR="00EC4341" w:rsidRPr="004F45BB" w:rsidRDefault="00EC4341" w:rsidP="00EC4341">
      <w:pPr>
        <w:pStyle w:val="Figurenumberandcaption"/>
      </w:pPr>
      <w:r>
        <w:t xml:space="preserve">Figure 5. Typical RefSeq record for a scaffold annotated by the Eukaryotic Genome Annotation Pipeline. (A) Links to the RefSeq BioProject and RefSeq assembly. (B) The comment field is prefixed with REFSEQ INFORMATION, and provides a link to the GenBank sequence on which the record is based. (C) The Genome Annotation structured comment provides the Annotation Release number and other information relating to the annotation process. ‘Annotation Status :: Full annotation’ and  ‘Annotation Method :: Best-placed RefSeq; Gnomon’ indicate that the annotation used the placement of RefSeq sequences and Gnomon prediction as the source for the annotation. </w:t>
      </w:r>
    </w:p>
    <w:p w14:paraId="27A0DB0B" w14:textId="77777777" w:rsidR="00F96E0D" w:rsidRDefault="00F96E0D" w:rsidP="00F96E0D"/>
    <w:p w14:paraId="26B99B2B" w14:textId="77777777" w:rsidR="00EC4341" w:rsidRDefault="00EC4341" w:rsidP="00EC4341">
      <w:pPr>
        <w:pStyle w:val="Figuregraphic"/>
      </w:pPr>
      <w:r>
        <w:rPr>
          <w:noProof/>
        </w:rPr>
        <w:lastRenderedPageBreak/>
        <w:drawing>
          <wp:inline distT="0" distB="0" distL="0" distR="0" wp14:anchorId="5EEB9AE3" wp14:editId="0FA1E3A3">
            <wp:extent cx="5199459" cy="7521843"/>
            <wp:effectExtent l="0" t="0" r="127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M2.png"/>
                    <pic:cNvPicPr/>
                  </pic:nvPicPr>
                  <pic:blipFill>
                    <a:blip r:embed="rId47">
                      <a:extLst>
                        <a:ext uri="{28A0092B-C50C-407E-A947-70E740481C1C}">
                          <a14:useLocalDpi xmlns:a14="http://schemas.microsoft.com/office/drawing/2010/main" val="0"/>
                        </a:ext>
                      </a:extLst>
                    </a:blip>
                    <a:stretch>
                      <a:fillRect/>
                    </a:stretch>
                  </pic:blipFill>
                  <pic:spPr>
                    <a:xfrm>
                      <a:off x="0" y="0"/>
                      <a:ext cx="5199459" cy="7521843"/>
                    </a:xfrm>
                    <a:prstGeom prst="rect">
                      <a:avLst/>
                    </a:prstGeom>
                  </pic:spPr>
                </pic:pic>
              </a:graphicData>
            </a:graphic>
          </wp:inline>
        </w:drawing>
      </w:r>
    </w:p>
    <w:p w14:paraId="39828315" w14:textId="77777777" w:rsidR="00EC4341" w:rsidRDefault="00EC4341" w:rsidP="00EC4341">
      <w:pPr>
        <w:pStyle w:val="Figurenumberandcaption"/>
      </w:pPr>
      <w:r>
        <w:t xml:space="preserve">Figure 6. Example of a </w:t>
      </w:r>
      <w:r w:rsidRPr="00B267E7">
        <w:t xml:space="preserve">RefSeq record for a </w:t>
      </w:r>
      <w:r>
        <w:t>transcript model</w:t>
      </w:r>
      <w:r w:rsidRPr="00B267E7">
        <w:t xml:space="preserve"> </w:t>
      </w:r>
      <w:r>
        <w:t>predicted by Gnomon.</w:t>
      </w:r>
      <w:r w:rsidRPr="00B267E7">
        <w:t xml:space="preserve"> (A) </w:t>
      </w:r>
      <w:r>
        <w:t>The title in the DEFINITION line is prefixed with PREDICTED</w:t>
      </w:r>
      <w:r w:rsidRPr="00B267E7">
        <w:t xml:space="preserve"> (B) The comment field is prefixed with </w:t>
      </w:r>
      <w:r>
        <w:t xml:space="preserve">MODEL REFSEQ and indicates the gene prediction method and refers to the genomic sequence on which the model is annotated. </w:t>
      </w:r>
      <w:r w:rsidRPr="00B267E7">
        <w:t xml:space="preserve">(C) The </w:t>
      </w:r>
      <w:r>
        <w:t xml:space="preserve">note on the gene indicates the type and number of supporting evidence for the model. (D) The note on the CDS describes the </w:t>
      </w:r>
      <w:r>
        <w:lastRenderedPageBreak/>
        <w:t>modification that was done relative to the genomic sequence to produce the model. (E) The product name is prefixed with LOW QUALITY PROTEIN.</w:t>
      </w:r>
    </w:p>
    <w:p w14:paraId="748B02DB" w14:textId="77777777" w:rsidR="00F96E0D" w:rsidRDefault="00F96E0D" w:rsidP="00F96E0D"/>
    <w:p w14:paraId="174F67B7" w14:textId="77777777" w:rsidR="00EC4341" w:rsidRDefault="00EC4341" w:rsidP="00EC4341">
      <w:pPr>
        <w:pStyle w:val="Figuregraphic"/>
      </w:pPr>
      <w:r>
        <w:rPr>
          <w:noProof/>
        </w:rPr>
        <w:drawing>
          <wp:inline distT="0" distB="0" distL="0" distR="0" wp14:anchorId="354E2D52" wp14:editId="132D6D6C">
            <wp:extent cx="4510667" cy="423637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png"/>
                    <pic:cNvPicPr/>
                  </pic:nvPicPr>
                  <pic:blipFill>
                    <a:blip r:embed="rId48">
                      <a:extLst>
                        <a:ext uri="{28A0092B-C50C-407E-A947-70E740481C1C}">
                          <a14:useLocalDpi xmlns:a14="http://schemas.microsoft.com/office/drawing/2010/main" val="0"/>
                        </a:ext>
                      </a:extLst>
                    </a:blip>
                    <a:stretch>
                      <a:fillRect/>
                    </a:stretch>
                  </pic:blipFill>
                  <pic:spPr>
                    <a:xfrm>
                      <a:off x="0" y="0"/>
                      <a:ext cx="4510667" cy="4236370"/>
                    </a:xfrm>
                    <a:prstGeom prst="rect">
                      <a:avLst/>
                    </a:prstGeom>
                  </pic:spPr>
                </pic:pic>
              </a:graphicData>
            </a:graphic>
          </wp:inline>
        </w:drawing>
      </w:r>
    </w:p>
    <w:p w14:paraId="5C4A9BF7" w14:textId="77777777" w:rsidR="00EC4341" w:rsidRDefault="00EC4341" w:rsidP="00EC4341">
      <w:pPr>
        <w:pStyle w:val="Figurenumberandcaption"/>
      </w:pPr>
      <w:r>
        <w:t>Figure 7. Example of a known RefSeq transcript annotated on a genomic scaffold. (A) The note on the gene indicates that the gene was annotated by projection of a best-placed RefSeq transcript on the genome.  (B) The inference identifies the RefSeq transcript from which the annotation is inferred. (C) The note describes the alignment of the known transcript to the genomic sequence.</w:t>
      </w:r>
    </w:p>
    <w:p w14:paraId="50A6B0A4" w14:textId="77777777" w:rsidR="00EC4341" w:rsidRDefault="00EC4341" w:rsidP="00F96E0D"/>
    <w:p w14:paraId="3355840D" w14:textId="77777777" w:rsidR="00EC4341" w:rsidRPr="009E6F70" w:rsidRDefault="00EC4341" w:rsidP="00EC4341">
      <w:pPr>
        <w:pStyle w:val="Figuregraphic"/>
      </w:pPr>
      <w:r>
        <w:rPr>
          <w:noProof/>
        </w:rPr>
        <w:drawing>
          <wp:inline distT="0" distB="0" distL="0" distR="0" wp14:anchorId="0A32F63A" wp14:editId="601CC4CB">
            <wp:extent cx="6400800" cy="22066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m_asm1.png"/>
                    <pic:cNvPicPr/>
                  </pic:nvPicPr>
                  <pic:blipFill>
                    <a:blip r:embed="rId49">
                      <a:extLst>
                        <a:ext uri="{28A0092B-C50C-407E-A947-70E740481C1C}">
                          <a14:useLocalDpi xmlns:a14="http://schemas.microsoft.com/office/drawing/2010/main" val="0"/>
                        </a:ext>
                      </a:extLst>
                    </a:blip>
                    <a:stretch>
                      <a:fillRect/>
                    </a:stretch>
                  </pic:blipFill>
                  <pic:spPr>
                    <a:xfrm>
                      <a:off x="0" y="0"/>
                      <a:ext cx="6400800" cy="2206625"/>
                    </a:xfrm>
                    <a:prstGeom prst="rect">
                      <a:avLst/>
                    </a:prstGeom>
                  </pic:spPr>
                </pic:pic>
              </a:graphicData>
            </a:graphic>
          </wp:inline>
        </w:drawing>
      </w:r>
    </w:p>
    <w:p w14:paraId="72B7A49C" w14:textId="77777777" w:rsidR="00EC4341" w:rsidRPr="009E6F70" w:rsidRDefault="00EC4341" w:rsidP="00EC4341">
      <w:pPr>
        <w:pStyle w:val="Figurenumberandcaption"/>
      </w:pPr>
      <w:r w:rsidRPr="002E479A">
        <w:lastRenderedPageBreak/>
        <w:t>Figure</w:t>
      </w:r>
      <w:r>
        <w:t xml:space="preserve"> 8.</w:t>
      </w:r>
      <w:r w:rsidRPr="002E479A">
        <w:t xml:space="preserve"> Ranking of alignments across multiple assemblies. Alignments of a given transcript are represented in red to Assemby 1 and in green to Assembly 2. If a genomic alignment exists between two regions harboring a transcript alignment (light blue parallelograms), the alignments </w:t>
      </w:r>
      <w:r>
        <w:t xml:space="preserve">in the paired regions </w:t>
      </w:r>
      <w:r w:rsidRPr="002E479A">
        <w:t>are placed in the same group (Group 1</w:t>
      </w:r>
      <w:r>
        <w:t xml:space="preserve"> </w:t>
      </w:r>
      <w:r w:rsidRPr="002E479A">
        <w:t>and Group 3). All alignments in a given group are given the same rank, different from the rank of other groups, based on the quality of the alignments.</w:t>
      </w:r>
    </w:p>
    <w:p w14:paraId="13F97AD5" w14:textId="77777777" w:rsidR="00F96E0D" w:rsidRDefault="00F96E0D" w:rsidP="00F96E0D"/>
    <w:p w14:paraId="39FEB7E2" w14:textId="77777777" w:rsidR="00EC4341" w:rsidRDefault="00EC4341" w:rsidP="00EC4341">
      <w:pPr>
        <w:pStyle w:val="Figuregraphic"/>
      </w:pPr>
      <w:r>
        <w:rPr>
          <w:noProof/>
        </w:rPr>
        <w:drawing>
          <wp:inline distT="0" distB="0" distL="0" distR="0" wp14:anchorId="0872047A" wp14:editId="19227CB0">
            <wp:extent cx="6400800" cy="4537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ot_status2.png"/>
                    <pic:cNvPicPr/>
                  </pic:nvPicPr>
                  <pic:blipFill>
                    <a:blip r:embed="rId50">
                      <a:extLst>
                        <a:ext uri="{28A0092B-C50C-407E-A947-70E740481C1C}">
                          <a14:useLocalDpi xmlns:a14="http://schemas.microsoft.com/office/drawing/2010/main" val="0"/>
                        </a:ext>
                      </a:extLst>
                    </a:blip>
                    <a:stretch>
                      <a:fillRect/>
                    </a:stretch>
                  </pic:blipFill>
                  <pic:spPr>
                    <a:xfrm>
                      <a:off x="0" y="0"/>
                      <a:ext cx="6400800" cy="4537075"/>
                    </a:xfrm>
                    <a:prstGeom prst="rect">
                      <a:avLst/>
                    </a:prstGeom>
                  </pic:spPr>
                </pic:pic>
              </a:graphicData>
            </a:graphic>
          </wp:inline>
        </w:drawing>
      </w:r>
    </w:p>
    <w:p w14:paraId="7BE12C6B" w14:textId="77777777" w:rsidR="00EC4341" w:rsidRDefault="00EC4341" w:rsidP="00EC4341">
      <w:pPr>
        <w:pStyle w:val="Figurenumberandcaption"/>
      </w:pPr>
      <w:r>
        <w:t>Figure 9. Public report of annotion runs (A) in progress and recently completed annotation runs (B). Information in the tables are linked to the Taxonomy database (Species), the Assembly database (RefSeq Assemblies), and resources where the data is available (Links). For each annotation run, the name of the Annotation Release, the Freeze date when the input data used for the annotation was fetched, and the Release date when the annotation was first made public are also provided.</w:t>
      </w:r>
    </w:p>
    <w:p w14:paraId="64E9E6D0" w14:textId="77777777" w:rsidR="00F96E0D" w:rsidRDefault="00F96E0D" w:rsidP="00F96E0D"/>
    <w:p w14:paraId="7C48A48F" w14:textId="77777777" w:rsidR="00F96E0D" w:rsidRDefault="00F96E0D" w:rsidP="00F96E0D"/>
    <w:p w14:paraId="09DDEA7A" w14:textId="77777777" w:rsidR="00F96E0D" w:rsidRDefault="00F96E0D" w:rsidP="00F96E0D"/>
    <w:p w14:paraId="21790CC9" w14:textId="77777777" w:rsidR="00F96E0D" w:rsidRDefault="00F96E0D" w:rsidP="00F96E0D"/>
    <w:p w14:paraId="3BEC32EB" w14:textId="77777777" w:rsidR="00F96E0D" w:rsidRDefault="00F96E0D" w:rsidP="00F96E0D"/>
    <w:p w14:paraId="6F6A282D" w14:textId="77777777" w:rsidR="00F96E0D" w:rsidRDefault="00F96E0D" w:rsidP="00F96E0D"/>
    <w:p w14:paraId="0EB3F8CF" w14:textId="77777777" w:rsidR="00EC4341" w:rsidRDefault="00EC4341" w:rsidP="00EC4341">
      <w:pPr>
        <w:pStyle w:val="Tablenumberandcaption"/>
      </w:pPr>
      <w:r w:rsidRPr="00C97C26">
        <w:lastRenderedPageBreak/>
        <w:t>Table 1. Guide to the features annotated on scaffolds and chromosomes. The note provides information on the origin of the feature. *For predicted models, the note is also on the records of individual annotation products.</w:t>
      </w:r>
    </w:p>
    <w:tbl>
      <w:tblPr>
        <w:tblStyle w:val="TableGrid"/>
        <w:tblW w:w="0" w:type="auto"/>
        <w:tblLook w:val="04A0" w:firstRow="1" w:lastRow="0" w:firstColumn="1" w:lastColumn="0" w:noHBand="0" w:noVBand="1"/>
      </w:tblPr>
      <w:tblGrid>
        <w:gridCol w:w="2304"/>
        <w:gridCol w:w="2116"/>
        <w:gridCol w:w="1674"/>
        <w:gridCol w:w="3976"/>
      </w:tblGrid>
      <w:tr w:rsidR="00EC4341" w:rsidRPr="00726A47" w14:paraId="4D4DC0D4" w14:textId="77777777" w:rsidTr="007846CC">
        <w:trPr>
          <w:trHeight w:val="300"/>
        </w:trPr>
        <w:tc>
          <w:tcPr>
            <w:tcW w:w="2355" w:type="dxa"/>
            <w:noWrap/>
            <w:hideMark/>
          </w:tcPr>
          <w:p w14:paraId="295CD074" w14:textId="77777777" w:rsidR="00EC4341" w:rsidRPr="00726A47" w:rsidRDefault="00EC4341" w:rsidP="007846CC">
            <w:pPr>
              <w:pStyle w:val="Tableheader"/>
            </w:pPr>
            <w:r>
              <w:t xml:space="preserve">Annotated </w:t>
            </w:r>
            <w:r w:rsidRPr="00726A47">
              <w:t>Product</w:t>
            </w:r>
          </w:p>
        </w:tc>
        <w:tc>
          <w:tcPr>
            <w:tcW w:w="2163" w:type="dxa"/>
            <w:noWrap/>
            <w:hideMark/>
          </w:tcPr>
          <w:p w14:paraId="68B5AEE8" w14:textId="77777777" w:rsidR="00EC4341" w:rsidRPr="00726A47" w:rsidRDefault="00EC4341" w:rsidP="007846CC">
            <w:pPr>
              <w:pStyle w:val="Tableheader"/>
            </w:pPr>
            <w:r w:rsidRPr="00726A47">
              <w:t>Accession prefix</w:t>
            </w:r>
          </w:p>
        </w:tc>
        <w:tc>
          <w:tcPr>
            <w:tcW w:w="1710" w:type="dxa"/>
            <w:noWrap/>
            <w:hideMark/>
          </w:tcPr>
          <w:p w14:paraId="1D03E009" w14:textId="77777777" w:rsidR="00EC4341" w:rsidRPr="00726A47" w:rsidRDefault="00EC4341" w:rsidP="007846CC">
            <w:pPr>
              <w:pStyle w:val="Tableheader"/>
            </w:pPr>
            <w:r w:rsidRPr="00726A47">
              <w:t>Origin of the product</w:t>
            </w:r>
          </w:p>
        </w:tc>
        <w:tc>
          <w:tcPr>
            <w:tcW w:w="4068" w:type="dxa"/>
            <w:noWrap/>
            <w:hideMark/>
          </w:tcPr>
          <w:p w14:paraId="38B6865F" w14:textId="77777777" w:rsidR="00EC4341" w:rsidRPr="00726A47" w:rsidRDefault="00EC4341" w:rsidP="007846CC">
            <w:pPr>
              <w:pStyle w:val="Tableheader"/>
            </w:pPr>
            <w:r w:rsidRPr="00726A47">
              <w:t xml:space="preserve">Note </w:t>
            </w:r>
            <w:r>
              <w:t>provided for</w:t>
            </w:r>
            <w:r w:rsidRPr="00726A47">
              <w:t xml:space="preserve"> the feature </w:t>
            </w:r>
            <w:r>
              <w:t xml:space="preserve">annotated </w:t>
            </w:r>
            <w:r w:rsidRPr="00726A47">
              <w:t>on scaffolds and chromosomes</w:t>
            </w:r>
            <w:r>
              <w:t xml:space="preserve"> records</w:t>
            </w:r>
            <w:r w:rsidRPr="00726A47">
              <w:t>*</w:t>
            </w:r>
          </w:p>
        </w:tc>
      </w:tr>
      <w:tr w:rsidR="00EC4341" w:rsidRPr="00726A47" w14:paraId="0EF56B99" w14:textId="77777777" w:rsidTr="007846CC">
        <w:trPr>
          <w:trHeight w:val="300"/>
        </w:trPr>
        <w:tc>
          <w:tcPr>
            <w:tcW w:w="2355" w:type="dxa"/>
            <w:noWrap/>
            <w:hideMark/>
          </w:tcPr>
          <w:p w14:paraId="3AEB6872" w14:textId="77777777" w:rsidR="00EC4341" w:rsidRPr="00726A47" w:rsidRDefault="00EC4341" w:rsidP="007846CC">
            <w:pPr>
              <w:pStyle w:val="Tablebody"/>
            </w:pPr>
            <w:r>
              <w:t xml:space="preserve">Known </w:t>
            </w:r>
            <w:r w:rsidRPr="00726A47">
              <w:t>transcripts/proteins</w:t>
            </w:r>
          </w:p>
        </w:tc>
        <w:tc>
          <w:tcPr>
            <w:tcW w:w="2163" w:type="dxa"/>
            <w:noWrap/>
            <w:hideMark/>
          </w:tcPr>
          <w:p w14:paraId="7412B8AD" w14:textId="77777777" w:rsidR="00EC4341" w:rsidRPr="00726A47" w:rsidRDefault="00EC4341" w:rsidP="007846CC">
            <w:pPr>
              <w:pStyle w:val="Tablebody"/>
            </w:pPr>
            <w:r w:rsidRPr="00726A47">
              <w:t>NM_, NR_, NP_</w:t>
            </w:r>
          </w:p>
        </w:tc>
        <w:tc>
          <w:tcPr>
            <w:tcW w:w="1710" w:type="dxa"/>
            <w:noWrap/>
            <w:hideMark/>
          </w:tcPr>
          <w:p w14:paraId="0D43A7D5" w14:textId="77777777" w:rsidR="00EC4341" w:rsidRPr="00726A47" w:rsidRDefault="00EC4341" w:rsidP="007846CC">
            <w:pPr>
              <w:pStyle w:val="Tablebody"/>
            </w:pPr>
            <w:r>
              <w:t>C</w:t>
            </w:r>
            <w:r w:rsidRPr="00726A47">
              <w:t>urated RefSeq genomic</w:t>
            </w:r>
            <w:r>
              <w:t xml:space="preserve"> alignment</w:t>
            </w:r>
          </w:p>
        </w:tc>
        <w:tc>
          <w:tcPr>
            <w:tcW w:w="4068" w:type="dxa"/>
            <w:noWrap/>
            <w:hideMark/>
          </w:tcPr>
          <w:p w14:paraId="778A47E7" w14:textId="77777777" w:rsidR="00EC4341" w:rsidRPr="00726A47" w:rsidRDefault="00EC4341" w:rsidP="007846CC">
            <w:pPr>
              <w:pStyle w:val="Tablebody"/>
            </w:pPr>
            <w:r w:rsidRPr="00726A47">
              <w:t>Derived by automated computational analysis using gene pre</w:t>
            </w:r>
            <w:r>
              <w:t>diction method: Curated Genomic</w:t>
            </w:r>
          </w:p>
        </w:tc>
      </w:tr>
      <w:tr w:rsidR="00EC4341" w:rsidRPr="00726A47" w14:paraId="738E9566" w14:textId="77777777" w:rsidTr="007846CC">
        <w:trPr>
          <w:trHeight w:val="300"/>
        </w:trPr>
        <w:tc>
          <w:tcPr>
            <w:tcW w:w="2355" w:type="dxa"/>
            <w:noWrap/>
            <w:hideMark/>
          </w:tcPr>
          <w:p w14:paraId="782D77AA" w14:textId="77777777" w:rsidR="00EC4341" w:rsidRPr="00726A47" w:rsidRDefault="00EC4341" w:rsidP="007846CC">
            <w:pPr>
              <w:pStyle w:val="Tablebody"/>
            </w:pPr>
            <w:r>
              <w:t>Known transcri</w:t>
            </w:r>
            <w:r w:rsidRPr="00726A47">
              <w:t>pts/proteins</w:t>
            </w:r>
          </w:p>
        </w:tc>
        <w:tc>
          <w:tcPr>
            <w:tcW w:w="2163" w:type="dxa"/>
            <w:noWrap/>
            <w:hideMark/>
          </w:tcPr>
          <w:p w14:paraId="03549F9C" w14:textId="77777777" w:rsidR="00EC4341" w:rsidRPr="00726A47" w:rsidRDefault="00EC4341" w:rsidP="007846CC">
            <w:pPr>
              <w:pStyle w:val="Tablebody"/>
            </w:pPr>
            <w:r w:rsidRPr="00726A47">
              <w:t>NM_, NR_, NP_</w:t>
            </w:r>
          </w:p>
        </w:tc>
        <w:tc>
          <w:tcPr>
            <w:tcW w:w="1710" w:type="dxa"/>
            <w:noWrap/>
            <w:hideMark/>
          </w:tcPr>
          <w:p w14:paraId="607BD80C" w14:textId="77777777" w:rsidR="00EC4341" w:rsidRPr="00726A47" w:rsidRDefault="00EC4341" w:rsidP="007846CC">
            <w:pPr>
              <w:pStyle w:val="Tablebody"/>
            </w:pPr>
            <w:r>
              <w:t>Known</w:t>
            </w:r>
            <w:r w:rsidRPr="00726A47">
              <w:t xml:space="preserve"> RefSeq transcript</w:t>
            </w:r>
            <w:r>
              <w:t xml:space="preserve"> alignment</w:t>
            </w:r>
          </w:p>
        </w:tc>
        <w:tc>
          <w:tcPr>
            <w:tcW w:w="4068" w:type="dxa"/>
            <w:noWrap/>
            <w:hideMark/>
          </w:tcPr>
          <w:p w14:paraId="0A1C1CEE" w14:textId="77777777" w:rsidR="00EC4341" w:rsidRPr="00726A47" w:rsidRDefault="00EC4341" w:rsidP="007846CC">
            <w:pPr>
              <w:pStyle w:val="Tablebody"/>
            </w:pPr>
            <w:r w:rsidRPr="00726A47">
              <w:t>Derived by automated computational analysis using gen</w:t>
            </w:r>
            <w:r>
              <w:t>e prediction method: BestRefseq</w:t>
            </w:r>
          </w:p>
        </w:tc>
      </w:tr>
      <w:tr w:rsidR="00EC4341" w:rsidRPr="00726A47" w14:paraId="7F283514" w14:textId="77777777" w:rsidTr="007846CC">
        <w:trPr>
          <w:trHeight w:val="300"/>
        </w:trPr>
        <w:tc>
          <w:tcPr>
            <w:tcW w:w="2355" w:type="dxa"/>
            <w:noWrap/>
            <w:hideMark/>
          </w:tcPr>
          <w:p w14:paraId="40065A13" w14:textId="77777777" w:rsidR="00EC4341" w:rsidRPr="00726A47" w:rsidRDefault="00EC4341" w:rsidP="007846CC">
            <w:pPr>
              <w:pStyle w:val="Tablebody"/>
            </w:pPr>
            <w:r>
              <w:t xml:space="preserve">Model </w:t>
            </w:r>
            <w:r w:rsidRPr="00726A47">
              <w:t>transcripts/proteins</w:t>
            </w:r>
          </w:p>
        </w:tc>
        <w:tc>
          <w:tcPr>
            <w:tcW w:w="2163" w:type="dxa"/>
            <w:noWrap/>
            <w:hideMark/>
          </w:tcPr>
          <w:p w14:paraId="4EBA53A8" w14:textId="77777777" w:rsidR="00EC4341" w:rsidRPr="00726A47" w:rsidRDefault="00EC4341" w:rsidP="007846CC">
            <w:pPr>
              <w:pStyle w:val="Tablebody"/>
            </w:pPr>
            <w:r w:rsidRPr="00726A47">
              <w:t>XM_, XR_, XP_</w:t>
            </w:r>
          </w:p>
        </w:tc>
        <w:tc>
          <w:tcPr>
            <w:tcW w:w="1710" w:type="dxa"/>
            <w:noWrap/>
            <w:hideMark/>
          </w:tcPr>
          <w:p w14:paraId="5D283C2E" w14:textId="77777777" w:rsidR="00EC4341" w:rsidRPr="00726A47" w:rsidRDefault="00EC4341" w:rsidP="007846CC">
            <w:pPr>
              <w:pStyle w:val="Tablebody"/>
            </w:pPr>
            <w:r w:rsidRPr="00726A47">
              <w:t>Gnomon</w:t>
            </w:r>
          </w:p>
        </w:tc>
        <w:tc>
          <w:tcPr>
            <w:tcW w:w="4068" w:type="dxa"/>
            <w:noWrap/>
            <w:hideMark/>
          </w:tcPr>
          <w:p w14:paraId="6B999CFB" w14:textId="77777777" w:rsidR="00EC4341" w:rsidRPr="00726A47" w:rsidRDefault="00EC4341" w:rsidP="007846CC">
            <w:pPr>
              <w:pStyle w:val="Tablebody"/>
            </w:pPr>
            <w:r w:rsidRPr="00726A47">
              <w:t>Derived by automated computational analysis using</w:t>
            </w:r>
            <w:r>
              <w:t xml:space="preserve"> gene prediction method: Gnomon</w:t>
            </w:r>
          </w:p>
        </w:tc>
      </w:tr>
      <w:tr w:rsidR="00EC4341" w:rsidRPr="00726A47" w14:paraId="0EE2164B" w14:textId="77777777" w:rsidTr="007846CC">
        <w:trPr>
          <w:trHeight w:val="300"/>
        </w:trPr>
        <w:tc>
          <w:tcPr>
            <w:tcW w:w="2355" w:type="dxa"/>
            <w:noWrap/>
            <w:hideMark/>
          </w:tcPr>
          <w:p w14:paraId="44892FAF" w14:textId="77777777" w:rsidR="00EC4341" w:rsidRPr="00726A47" w:rsidRDefault="00EC4341" w:rsidP="007846CC">
            <w:pPr>
              <w:pStyle w:val="Tablebody"/>
            </w:pPr>
            <w:r w:rsidRPr="00726A47">
              <w:t>tRNAs</w:t>
            </w:r>
          </w:p>
        </w:tc>
        <w:tc>
          <w:tcPr>
            <w:tcW w:w="2163" w:type="dxa"/>
            <w:noWrap/>
            <w:hideMark/>
          </w:tcPr>
          <w:p w14:paraId="5DF72A4F" w14:textId="77777777" w:rsidR="00EC4341" w:rsidRPr="00726A47" w:rsidRDefault="00EC4341" w:rsidP="007846CC">
            <w:pPr>
              <w:pStyle w:val="Tablebody"/>
            </w:pPr>
            <w:r w:rsidRPr="00726A47">
              <w:t>no accession</w:t>
            </w:r>
          </w:p>
        </w:tc>
        <w:tc>
          <w:tcPr>
            <w:tcW w:w="1710" w:type="dxa"/>
            <w:noWrap/>
            <w:hideMark/>
          </w:tcPr>
          <w:p w14:paraId="6E1EFB74" w14:textId="77777777" w:rsidR="00EC4341" w:rsidRPr="00726A47" w:rsidRDefault="00EC4341" w:rsidP="007846CC">
            <w:pPr>
              <w:pStyle w:val="Tablebody"/>
            </w:pPr>
            <w:r w:rsidRPr="00726A47">
              <w:t>tRNAscan-SE</w:t>
            </w:r>
          </w:p>
        </w:tc>
        <w:tc>
          <w:tcPr>
            <w:tcW w:w="4068" w:type="dxa"/>
            <w:noWrap/>
            <w:hideMark/>
          </w:tcPr>
          <w:p w14:paraId="35A17A6A" w14:textId="77777777" w:rsidR="00EC4341" w:rsidRPr="00726A47" w:rsidRDefault="00EC4341" w:rsidP="007846CC">
            <w:pPr>
              <w:pStyle w:val="Tablebody"/>
            </w:pPr>
            <w:r w:rsidRPr="00726A47">
              <w:t>tRNA feature</w:t>
            </w:r>
            <w:r>
              <w:t>s were annotated by tRNAscan-SE</w:t>
            </w:r>
          </w:p>
        </w:tc>
      </w:tr>
      <w:tr w:rsidR="00EC4341" w:rsidRPr="00726A47" w14:paraId="7B024D7B" w14:textId="77777777" w:rsidTr="007846CC">
        <w:trPr>
          <w:trHeight w:val="300"/>
        </w:trPr>
        <w:tc>
          <w:tcPr>
            <w:tcW w:w="2355" w:type="dxa"/>
            <w:noWrap/>
            <w:hideMark/>
          </w:tcPr>
          <w:p w14:paraId="127DF04C" w14:textId="77777777" w:rsidR="00EC4341" w:rsidRPr="00726A47" w:rsidRDefault="00EC4341" w:rsidP="007846CC">
            <w:pPr>
              <w:pStyle w:val="Tablebody"/>
            </w:pPr>
            <w:r>
              <w:t>RefSeq n</w:t>
            </w:r>
            <w:r w:rsidRPr="00726A47">
              <w:t>on-transcribed pseudogenes</w:t>
            </w:r>
          </w:p>
        </w:tc>
        <w:tc>
          <w:tcPr>
            <w:tcW w:w="2163" w:type="dxa"/>
            <w:noWrap/>
            <w:hideMark/>
          </w:tcPr>
          <w:p w14:paraId="04785E2B" w14:textId="77777777" w:rsidR="00EC4341" w:rsidRPr="00726A47" w:rsidRDefault="00EC4341" w:rsidP="007846CC">
            <w:pPr>
              <w:pStyle w:val="Tablebody"/>
            </w:pPr>
            <w:r w:rsidRPr="00726A47">
              <w:t>no accession</w:t>
            </w:r>
          </w:p>
        </w:tc>
        <w:tc>
          <w:tcPr>
            <w:tcW w:w="1710" w:type="dxa"/>
            <w:noWrap/>
            <w:hideMark/>
          </w:tcPr>
          <w:p w14:paraId="18C140D6" w14:textId="77777777" w:rsidR="00EC4341" w:rsidRPr="00726A47" w:rsidRDefault="00EC4341" w:rsidP="007846CC">
            <w:pPr>
              <w:pStyle w:val="Tablebody"/>
            </w:pPr>
            <w:r>
              <w:t>C</w:t>
            </w:r>
            <w:r w:rsidRPr="00726A47">
              <w:t>urated RefSeq genomic</w:t>
            </w:r>
            <w:r>
              <w:t xml:space="preserve"> alignment</w:t>
            </w:r>
          </w:p>
        </w:tc>
        <w:tc>
          <w:tcPr>
            <w:tcW w:w="4068" w:type="dxa"/>
            <w:noWrap/>
            <w:hideMark/>
          </w:tcPr>
          <w:p w14:paraId="48E10179" w14:textId="77777777" w:rsidR="00EC4341" w:rsidRPr="00726A47" w:rsidRDefault="00EC4341" w:rsidP="007846CC">
            <w:pPr>
              <w:pStyle w:val="Tablebody"/>
            </w:pPr>
            <w:r w:rsidRPr="00726A47">
              <w:t>Derived by automated computational analysis using gene pre</w:t>
            </w:r>
            <w:r>
              <w:t>diction method: Curated Genomic</w:t>
            </w:r>
          </w:p>
        </w:tc>
      </w:tr>
      <w:tr w:rsidR="00EC4341" w:rsidRPr="00726A47" w14:paraId="6D60D331" w14:textId="77777777" w:rsidTr="007846CC">
        <w:trPr>
          <w:trHeight w:val="300"/>
        </w:trPr>
        <w:tc>
          <w:tcPr>
            <w:tcW w:w="2355" w:type="dxa"/>
            <w:noWrap/>
            <w:hideMark/>
          </w:tcPr>
          <w:p w14:paraId="22634F50" w14:textId="77777777" w:rsidR="00EC4341" w:rsidRPr="00726A47" w:rsidRDefault="00EC4341" w:rsidP="007846CC">
            <w:pPr>
              <w:pStyle w:val="Tablebody"/>
            </w:pPr>
            <w:r>
              <w:t>Gnomon n</w:t>
            </w:r>
            <w:r w:rsidRPr="00726A47">
              <w:t>on-transcribed pseudogenes</w:t>
            </w:r>
          </w:p>
        </w:tc>
        <w:tc>
          <w:tcPr>
            <w:tcW w:w="2163" w:type="dxa"/>
            <w:noWrap/>
            <w:hideMark/>
          </w:tcPr>
          <w:p w14:paraId="56E66BA1" w14:textId="77777777" w:rsidR="00EC4341" w:rsidRPr="00726A47" w:rsidRDefault="00EC4341" w:rsidP="007846CC">
            <w:pPr>
              <w:pStyle w:val="Tablebody"/>
            </w:pPr>
            <w:r w:rsidRPr="00726A47">
              <w:t>no accession</w:t>
            </w:r>
          </w:p>
        </w:tc>
        <w:tc>
          <w:tcPr>
            <w:tcW w:w="1710" w:type="dxa"/>
            <w:noWrap/>
            <w:hideMark/>
          </w:tcPr>
          <w:p w14:paraId="60BBE8D6" w14:textId="77777777" w:rsidR="00EC4341" w:rsidRPr="00726A47" w:rsidRDefault="00EC4341" w:rsidP="007846CC">
            <w:pPr>
              <w:pStyle w:val="Tablebody"/>
            </w:pPr>
            <w:r w:rsidRPr="00726A47">
              <w:t>Gnomon</w:t>
            </w:r>
          </w:p>
        </w:tc>
        <w:tc>
          <w:tcPr>
            <w:tcW w:w="4068" w:type="dxa"/>
            <w:noWrap/>
            <w:hideMark/>
          </w:tcPr>
          <w:p w14:paraId="23E0426B" w14:textId="77777777" w:rsidR="00EC4341" w:rsidRPr="00726A47" w:rsidRDefault="00EC4341" w:rsidP="007846CC">
            <w:pPr>
              <w:pStyle w:val="Tablebody"/>
            </w:pPr>
            <w:r w:rsidRPr="00726A47">
              <w:t>Derived by automated computational analysis using</w:t>
            </w:r>
            <w:r>
              <w:t xml:space="preserve"> gene prediction method: Gnomon</w:t>
            </w:r>
          </w:p>
        </w:tc>
      </w:tr>
      <w:tr w:rsidR="00EC4341" w:rsidRPr="00726A47" w14:paraId="146310A9" w14:textId="77777777" w:rsidTr="007846CC">
        <w:trPr>
          <w:trHeight w:val="300"/>
        </w:trPr>
        <w:tc>
          <w:tcPr>
            <w:tcW w:w="2355" w:type="dxa"/>
            <w:noWrap/>
            <w:hideMark/>
          </w:tcPr>
          <w:p w14:paraId="3692F437" w14:textId="77777777" w:rsidR="00EC4341" w:rsidRPr="00726A47" w:rsidRDefault="00EC4341" w:rsidP="007846CC">
            <w:pPr>
              <w:pStyle w:val="Tablebody"/>
            </w:pPr>
            <w:r w:rsidRPr="00726A47">
              <w:t>Full set of Gnomon predictions</w:t>
            </w:r>
          </w:p>
        </w:tc>
        <w:tc>
          <w:tcPr>
            <w:tcW w:w="2163" w:type="dxa"/>
            <w:noWrap/>
            <w:hideMark/>
          </w:tcPr>
          <w:p w14:paraId="3EAFADBC" w14:textId="77777777" w:rsidR="00EC4341" w:rsidRPr="00726A47" w:rsidRDefault="00EC4341" w:rsidP="007846CC">
            <w:pPr>
              <w:pStyle w:val="Tablebody"/>
            </w:pPr>
            <w:r w:rsidRPr="00726A47">
              <w:t>no accession</w:t>
            </w:r>
          </w:p>
        </w:tc>
        <w:tc>
          <w:tcPr>
            <w:tcW w:w="1710" w:type="dxa"/>
            <w:noWrap/>
            <w:hideMark/>
          </w:tcPr>
          <w:p w14:paraId="74A8D145" w14:textId="77777777" w:rsidR="00EC4341" w:rsidRPr="00726A47" w:rsidRDefault="00EC4341" w:rsidP="007846CC">
            <w:pPr>
              <w:pStyle w:val="Tablebody"/>
            </w:pPr>
            <w:r w:rsidRPr="00726A47">
              <w:t>Gnomon</w:t>
            </w:r>
          </w:p>
        </w:tc>
        <w:tc>
          <w:tcPr>
            <w:tcW w:w="4068" w:type="dxa"/>
            <w:noWrap/>
            <w:hideMark/>
          </w:tcPr>
          <w:p w14:paraId="0B714B51" w14:textId="77777777" w:rsidR="00EC4341" w:rsidRPr="00726A47" w:rsidRDefault="00EC4341" w:rsidP="007846CC">
            <w:pPr>
              <w:pStyle w:val="Tablebody"/>
            </w:pPr>
            <w:r w:rsidRPr="00726A47">
              <w:t>Not in the sequence database. Available on the FTP site and as BLAST databases</w:t>
            </w:r>
            <w:r>
              <w:t>.</w:t>
            </w:r>
          </w:p>
        </w:tc>
      </w:tr>
    </w:tbl>
    <w:p w14:paraId="3782D9A5" w14:textId="77777777" w:rsidR="00EC4341" w:rsidRDefault="00EC4341" w:rsidP="00EC4341">
      <w:pPr>
        <w:keepNext/>
      </w:pPr>
    </w:p>
    <w:p w14:paraId="2F540D98" w14:textId="77777777" w:rsidR="00EC4341" w:rsidRDefault="00EC4341" w:rsidP="00EC4341">
      <w:pPr>
        <w:pStyle w:val="Tablenumberandcaption"/>
      </w:pPr>
      <w:r w:rsidRPr="00C97C26">
        <w:t>Table 2. Availability of annotation products in NCBI resources.</w:t>
      </w:r>
    </w:p>
    <w:tbl>
      <w:tblPr>
        <w:tblStyle w:val="TableGrid"/>
        <w:tblW w:w="0" w:type="auto"/>
        <w:tblLook w:val="04A0" w:firstRow="1" w:lastRow="0" w:firstColumn="1" w:lastColumn="0" w:noHBand="0" w:noVBand="1"/>
      </w:tblPr>
      <w:tblGrid>
        <w:gridCol w:w="1763"/>
        <w:gridCol w:w="1684"/>
        <w:gridCol w:w="1651"/>
        <w:gridCol w:w="1670"/>
        <w:gridCol w:w="1644"/>
        <w:gridCol w:w="1658"/>
      </w:tblGrid>
      <w:tr w:rsidR="00EC4341" w14:paraId="40F2E74A" w14:textId="77777777" w:rsidTr="007846CC">
        <w:tc>
          <w:tcPr>
            <w:tcW w:w="1777" w:type="dxa"/>
            <w:vAlign w:val="center"/>
          </w:tcPr>
          <w:p w14:paraId="469A4C45" w14:textId="77777777" w:rsidR="00EC4341" w:rsidRPr="00E2712A" w:rsidRDefault="00EC4341" w:rsidP="007846CC">
            <w:pPr>
              <w:pStyle w:val="Tableheader"/>
            </w:pPr>
            <w:r w:rsidRPr="00E2712A">
              <w:t>Annotation products</w:t>
            </w:r>
          </w:p>
        </w:tc>
        <w:tc>
          <w:tcPr>
            <w:tcW w:w="1711" w:type="dxa"/>
            <w:vAlign w:val="center"/>
          </w:tcPr>
          <w:p w14:paraId="286CDAEB" w14:textId="77777777" w:rsidR="00EC4341" w:rsidRPr="00E2712A" w:rsidRDefault="00EC4341" w:rsidP="007846CC">
            <w:pPr>
              <w:pStyle w:val="Tableheader"/>
            </w:pPr>
            <w:r w:rsidRPr="00E2712A">
              <w:t>In sequence databases</w:t>
            </w:r>
          </w:p>
        </w:tc>
        <w:tc>
          <w:tcPr>
            <w:tcW w:w="1702" w:type="dxa"/>
            <w:vAlign w:val="center"/>
          </w:tcPr>
          <w:p w14:paraId="731739C4" w14:textId="77777777" w:rsidR="00EC4341" w:rsidRPr="00E2712A" w:rsidRDefault="00EC4341" w:rsidP="007846CC">
            <w:pPr>
              <w:pStyle w:val="Tableheader"/>
            </w:pPr>
            <w:r w:rsidRPr="00E2712A">
              <w:t>In Gene</w:t>
            </w:r>
          </w:p>
        </w:tc>
        <w:tc>
          <w:tcPr>
            <w:tcW w:w="1702" w:type="dxa"/>
            <w:vAlign w:val="center"/>
          </w:tcPr>
          <w:p w14:paraId="5D101095" w14:textId="77777777" w:rsidR="00EC4341" w:rsidRPr="00E2712A" w:rsidRDefault="00EC4341" w:rsidP="007846CC">
            <w:pPr>
              <w:pStyle w:val="Tableheader"/>
            </w:pPr>
            <w:r w:rsidRPr="00E2712A">
              <w:t xml:space="preserve">In </w:t>
            </w:r>
            <w:r>
              <w:t>BLAST</w:t>
            </w:r>
            <w:r w:rsidRPr="00E2712A">
              <w:t xml:space="preserve"> database</w:t>
            </w:r>
          </w:p>
        </w:tc>
        <w:tc>
          <w:tcPr>
            <w:tcW w:w="1702" w:type="dxa"/>
            <w:vAlign w:val="center"/>
          </w:tcPr>
          <w:p w14:paraId="4C59120C" w14:textId="77777777" w:rsidR="00EC4341" w:rsidRPr="00E2712A" w:rsidRDefault="00EC4341" w:rsidP="007846CC">
            <w:pPr>
              <w:pStyle w:val="Tableheader"/>
            </w:pPr>
            <w:r w:rsidRPr="00E2712A">
              <w:t>On the FTP site</w:t>
            </w:r>
          </w:p>
        </w:tc>
        <w:tc>
          <w:tcPr>
            <w:tcW w:w="1702" w:type="dxa"/>
            <w:vAlign w:val="center"/>
          </w:tcPr>
          <w:p w14:paraId="1016421C" w14:textId="77777777" w:rsidR="00EC4341" w:rsidRPr="00E2712A" w:rsidRDefault="00EC4341" w:rsidP="007846CC">
            <w:pPr>
              <w:pStyle w:val="Tableheader"/>
            </w:pPr>
            <w:r w:rsidRPr="00E2712A">
              <w:t>In a Map Viewer track</w:t>
            </w:r>
          </w:p>
        </w:tc>
      </w:tr>
      <w:tr w:rsidR="00EC4341" w14:paraId="721FA62D" w14:textId="77777777" w:rsidTr="007846CC">
        <w:tc>
          <w:tcPr>
            <w:tcW w:w="1777" w:type="dxa"/>
            <w:vAlign w:val="center"/>
          </w:tcPr>
          <w:p w14:paraId="419FE7C9" w14:textId="77777777" w:rsidR="00EC4341" w:rsidRDefault="00EC4341" w:rsidP="007846CC">
            <w:pPr>
              <w:pStyle w:val="Tablebody"/>
            </w:pPr>
            <w:r>
              <w:t>Chromosomes</w:t>
            </w:r>
          </w:p>
        </w:tc>
        <w:tc>
          <w:tcPr>
            <w:tcW w:w="1711" w:type="dxa"/>
            <w:vAlign w:val="center"/>
          </w:tcPr>
          <w:p w14:paraId="2E8BE50F" w14:textId="77777777" w:rsidR="00EC4341" w:rsidRDefault="00EC4341" w:rsidP="007846CC">
            <w:pPr>
              <w:pStyle w:val="Tablebody"/>
            </w:pPr>
            <w:r>
              <w:t>Yes</w:t>
            </w:r>
          </w:p>
        </w:tc>
        <w:tc>
          <w:tcPr>
            <w:tcW w:w="1702" w:type="dxa"/>
            <w:vAlign w:val="center"/>
          </w:tcPr>
          <w:p w14:paraId="47DF3E86" w14:textId="77777777" w:rsidR="00EC4341" w:rsidRDefault="00EC4341" w:rsidP="007846CC">
            <w:pPr>
              <w:pStyle w:val="Tablebody"/>
            </w:pPr>
            <w:r>
              <w:t>Yes</w:t>
            </w:r>
          </w:p>
        </w:tc>
        <w:tc>
          <w:tcPr>
            <w:tcW w:w="1702" w:type="dxa"/>
            <w:vAlign w:val="center"/>
          </w:tcPr>
          <w:p w14:paraId="5A6E7EDC" w14:textId="77777777" w:rsidR="00EC4341" w:rsidRDefault="00EC4341" w:rsidP="007846CC">
            <w:pPr>
              <w:pStyle w:val="Tablebody"/>
            </w:pPr>
            <w:r>
              <w:t>Yes</w:t>
            </w:r>
          </w:p>
        </w:tc>
        <w:tc>
          <w:tcPr>
            <w:tcW w:w="1702" w:type="dxa"/>
            <w:vAlign w:val="center"/>
          </w:tcPr>
          <w:p w14:paraId="5C059224" w14:textId="77777777" w:rsidR="00EC4341" w:rsidRDefault="00EC4341" w:rsidP="007846CC">
            <w:pPr>
              <w:pStyle w:val="Tablebody"/>
            </w:pPr>
            <w:r>
              <w:t>Yes</w:t>
            </w:r>
          </w:p>
        </w:tc>
        <w:tc>
          <w:tcPr>
            <w:tcW w:w="1702" w:type="dxa"/>
            <w:vAlign w:val="center"/>
          </w:tcPr>
          <w:p w14:paraId="5CC44F36" w14:textId="77777777" w:rsidR="00EC4341" w:rsidRDefault="00EC4341" w:rsidP="007846CC">
            <w:pPr>
              <w:pStyle w:val="Tablebody"/>
            </w:pPr>
            <w:r>
              <w:t>Yes</w:t>
            </w:r>
          </w:p>
        </w:tc>
      </w:tr>
      <w:tr w:rsidR="00EC4341" w14:paraId="78979223" w14:textId="77777777" w:rsidTr="007846CC">
        <w:tc>
          <w:tcPr>
            <w:tcW w:w="1777" w:type="dxa"/>
            <w:vAlign w:val="center"/>
          </w:tcPr>
          <w:p w14:paraId="43370B34" w14:textId="77777777" w:rsidR="00EC4341" w:rsidRDefault="00EC4341" w:rsidP="007846CC">
            <w:pPr>
              <w:pStyle w:val="Tablebody"/>
            </w:pPr>
            <w:r>
              <w:t>Scaffolds</w:t>
            </w:r>
          </w:p>
        </w:tc>
        <w:tc>
          <w:tcPr>
            <w:tcW w:w="1711" w:type="dxa"/>
            <w:vAlign w:val="center"/>
          </w:tcPr>
          <w:p w14:paraId="31B5914C" w14:textId="77777777" w:rsidR="00EC4341" w:rsidRDefault="00EC4341" w:rsidP="007846CC">
            <w:pPr>
              <w:pStyle w:val="Tablebody"/>
            </w:pPr>
            <w:r>
              <w:t>Yes</w:t>
            </w:r>
          </w:p>
        </w:tc>
        <w:tc>
          <w:tcPr>
            <w:tcW w:w="1702" w:type="dxa"/>
            <w:vAlign w:val="center"/>
          </w:tcPr>
          <w:p w14:paraId="1D93EE6C" w14:textId="77777777" w:rsidR="00EC4341" w:rsidRDefault="00EC4341" w:rsidP="007846CC">
            <w:pPr>
              <w:pStyle w:val="Tablebody"/>
            </w:pPr>
            <w:r>
              <w:t>No</w:t>
            </w:r>
          </w:p>
        </w:tc>
        <w:tc>
          <w:tcPr>
            <w:tcW w:w="1702" w:type="dxa"/>
            <w:vAlign w:val="center"/>
          </w:tcPr>
          <w:p w14:paraId="4F2E6898" w14:textId="77777777" w:rsidR="00EC4341" w:rsidRDefault="00EC4341" w:rsidP="007846CC">
            <w:pPr>
              <w:pStyle w:val="Tablebody"/>
            </w:pPr>
            <w:r>
              <w:t>Yes</w:t>
            </w:r>
          </w:p>
        </w:tc>
        <w:tc>
          <w:tcPr>
            <w:tcW w:w="1702" w:type="dxa"/>
            <w:vAlign w:val="center"/>
          </w:tcPr>
          <w:p w14:paraId="426F745F" w14:textId="77777777" w:rsidR="00EC4341" w:rsidRDefault="00EC4341" w:rsidP="007846CC">
            <w:pPr>
              <w:pStyle w:val="Tablebody"/>
            </w:pPr>
            <w:r>
              <w:t>Yes</w:t>
            </w:r>
          </w:p>
        </w:tc>
        <w:tc>
          <w:tcPr>
            <w:tcW w:w="1702" w:type="dxa"/>
            <w:vAlign w:val="center"/>
          </w:tcPr>
          <w:p w14:paraId="48D04298" w14:textId="77777777" w:rsidR="00EC4341" w:rsidRDefault="00EC4341" w:rsidP="007846CC">
            <w:pPr>
              <w:pStyle w:val="Tablebody"/>
            </w:pPr>
            <w:r>
              <w:t>Yes</w:t>
            </w:r>
          </w:p>
        </w:tc>
      </w:tr>
      <w:tr w:rsidR="00EC4341" w14:paraId="59D667B1" w14:textId="77777777" w:rsidTr="007846CC">
        <w:tc>
          <w:tcPr>
            <w:tcW w:w="1777" w:type="dxa"/>
            <w:vAlign w:val="center"/>
          </w:tcPr>
          <w:p w14:paraId="69CE4F82" w14:textId="77777777" w:rsidR="00EC4341" w:rsidRDefault="00EC4341" w:rsidP="007846CC">
            <w:pPr>
              <w:pStyle w:val="Tablebody"/>
            </w:pPr>
            <w:r>
              <w:t>Curated RefSeq transcripts and proteins</w:t>
            </w:r>
          </w:p>
        </w:tc>
        <w:tc>
          <w:tcPr>
            <w:tcW w:w="1711" w:type="dxa"/>
            <w:vAlign w:val="center"/>
          </w:tcPr>
          <w:p w14:paraId="2ACD25BD" w14:textId="77777777" w:rsidR="00EC4341" w:rsidRDefault="00EC4341" w:rsidP="007846CC">
            <w:pPr>
              <w:pStyle w:val="Tablebody"/>
            </w:pPr>
            <w:r>
              <w:t>Yes</w:t>
            </w:r>
          </w:p>
        </w:tc>
        <w:tc>
          <w:tcPr>
            <w:tcW w:w="1702" w:type="dxa"/>
            <w:vAlign w:val="center"/>
          </w:tcPr>
          <w:p w14:paraId="1B2D92A3" w14:textId="77777777" w:rsidR="00EC4341" w:rsidRDefault="00EC4341" w:rsidP="007846CC">
            <w:pPr>
              <w:pStyle w:val="Tablebody"/>
            </w:pPr>
            <w:r>
              <w:t>Yes</w:t>
            </w:r>
          </w:p>
        </w:tc>
        <w:tc>
          <w:tcPr>
            <w:tcW w:w="1702" w:type="dxa"/>
            <w:vAlign w:val="center"/>
          </w:tcPr>
          <w:p w14:paraId="3E5F3BED" w14:textId="77777777" w:rsidR="00EC4341" w:rsidRDefault="00EC4341" w:rsidP="007846CC">
            <w:pPr>
              <w:pStyle w:val="Tablebody"/>
            </w:pPr>
            <w:r>
              <w:t>Yes</w:t>
            </w:r>
          </w:p>
        </w:tc>
        <w:tc>
          <w:tcPr>
            <w:tcW w:w="1702" w:type="dxa"/>
            <w:vAlign w:val="center"/>
          </w:tcPr>
          <w:p w14:paraId="668ABC3A" w14:textId="77777777" w:rsidR="00EC4341" w:rsidRDefault="00EC4341" w:rsidP="007846CC">
            <w:pPr>
              <w:pStyle w:val="Tablebody"/>
            </w:pPr>
            <w:r>
              <w:t>Yes</w:t>
            </w:r>
          </w:p>
        </w:tc>
        <w:tc>
          <w:tcPr>
            <w:tcW w:w="1702" w:type="dxa"/>
            <w:vAlign w:val="center"/>
          </w:tcPr>
          <w:p w14:paraId="7363E1B2" w14:textId="77777777" w:rsidR="00EC4341" w:rsidRDefault="00EC4341" w:rsidP="007846CC">
            <w:pPr>
              <w:pStyle w:val="Tablebody"/>
            </w:pPr>
            <w:r>
              <w:t>Yes</w:t>
            </w:r>
          </w:p>
        </w:tc>
      </w:tr>
      <w:tr w:rsidR="00EC4341" w14:paraId="0677CDEF" w14:textId="77777777" w:rsidTr="007846CC">
        <w:tc>
          <w:tcPr>
            <w:tcW w:w="1777" w:type="dxa"/>
            <w:vAlign w:val="center"/>
          </w:tcPr>
          <w:p w14:paraId="1154DF39" w14:textId="77777777" w:rsidR="00EC4341" w:rsidRDefault="00EC4341" w:rsidP="007846CC">
            <w:pPr>
              <w:pStyle w:val="Tablebody"/>
            </w:pPr>
            <w:r>
              <w:t>Predicted transcripts and proteins</w:t>
            </w:r>
          </w:p>
        </w:tc>
        <w:tc>
          <w:tcPr>
            <w:tcW w:w="1711" w:type="dxa"/>
            <w:vAlign w:val="center"/>
          </w:tcPr>
          <w:p w14:paraId="00045318" w14:textId="77777777" w:rsidR="00EC4341" w:rsidRDefault="00EC4341" w:rsidP="007846CC">
            <w:pPr>
              <w:pStyle w:val="Tablebody"/>
            </w:pPr>
            <w:r>
              <w:t>Yes</w:t>
            </w:r>
          </w:p>
        </w:tc>
        <w:tc>
          <w:tcPr>
            <w:tcW w:w="1702" w:type="dxa"/>
            <w:vAlign w:val="center"/>
          </w:tcPr>
          <w:p w14:paraId="40F47AD6" w14:textId="77777777" w:rsidR="00EC4341" w:rsidRDefault="00EC4341" w:rsidP="007846CC">
            <w:pPr>
              <w:pStyle w:val="Tablebody"/>
            </w:pPr>
            <w:r>
              <w:t>Yes</w:t>
            </w:r>
          </w:p>
        </w:tc>
        <w:tc>
          <w:tcPr>
            <w:tcW w:w="1702" w:type="dxa"/>
            <w:vAlign w:val="center"/>
          </w:tcPr>
          <w:p w14:paraId="7E1949A5" w14:textId="77777777" w:rsidR="00EC4341" w:rsidRDefault="00EC4341" w:rsidP="007846CC">
            <w:pPr>
              <w:pStyle w:val="Tablebody"/>
            </w:pPr>
            <w:r>
              <w:t>Yes</w:t>
            </w:r>
          </w:p>
        </w:tc>
        <w:tc>
          <w:tcPr>
            <w:tcW w:w="1702" w:type="dxa"/>
            <w:vAlign w:val="center"/>
          </w:tcPr>
          <w:p w14:paraId="2B2B27D8" w14:textId="77777777" w:rsidR="00EC4341" w:rsidRDefault="00EC4341" w:rsidP="007846CC">
            <w:pPr>
              <w:pStyle w:val="Tablebody"/>
            </w:pPr>
            <w:r>
              <w:t>Yes</w:t>
            </w:r>
          </w:p>
        </w:tc>
        <w:tc>
          <w:tcPr>
            <w:tcW w:w="1702" w:type="dxa"/>
            <w:vAlign w:val="center"/>
          </w:tcPr>
          <w:p w14:paraId="31A44856" w14:textId="77777777" w:rsidR="00EC4341" w:rsidRDefault="00EC4341" w:rsidP="007846CC">
            <w:pPr>
              <w:pStyle w:val="Tablebody"/>
            </w:pPr>
            <w:r>
              <w:t>Yes</w:t>
            </w:r>
          </w:p>
        </w:tc>
      </w:tr>
      <w:tr w:rsidR="00EC4341" w14:paraId="0B988DAD" w14:textId="77777777" w:rsidTr="007846CC">
        <w:tc>
          <w:tcPr>
            <w:tcW w:w="1777" w:type="dxa"/>
            <w:vAlign w:val="center"/>
          </w:tcPr>
          <w:p w14:paraId="3D23F043" w14:textId="77777777" w:rsidR="00EC4341" w:rsidRDefault="00EC4341" w:rsidP="007846CC">
            <w:pPr>
              <w:pStyle w:val="Tablebody"/>
            </w:pPr>
            <w:r>
              <w:t>tRNA</w:t>
            </w:r>
          </w:p>
        </w:tc>
        <w:tc>
          <w:tcPr>
            <w:tcW w:w="1711" w:type="dxa"/>
            <w:vAlign w:val="center"/>
          </w:tcPr>
          <w:p w14:paraId="26C51B26" w14:textId="77777777" w:rsidR="00EC4341" w:rsidRDefault="00EC4341" w:rsidP="007846CC">
            <w:pPr>
              <w:pStyle w:val="Tablebody"/>
            </w:pPr>
            <w:r>
              <w:t>No</w:t>
            </w:r>
          </w:p>
        </w:tc>
        <w:tc>
          <w:tcPr>
            <w:tcW w:w="1702" w:type="dxa"/>
            <w:vAlign w:val="center"/>
          </w:tcPr>
          <w:p w14:paraId="72AF4E5A" w14:textId="77777777" w:rsidR="00EC4341" w:rsidRDefault="00EC4341" w:rsidP="007846CC">
            <w:pPr>
              <w:pStyle w:val="Tablebody"/>
            </w:pPr>
            <w:r>
              <w:t>Yes</w:t>
            </w:r>
          </w:p>
        </w:tc>
        <w:tc>
          <w:tcPr>
            <w:tcW w:w="1702" w:type="dxa"/>
            <w:vAlign w:val="center"/>
          </w:tcPr>
          <w:p w14:paraId="4A5DD2D3" w14:textId="77777777" w:rsidR="00EC4341" w:rsidRDefault="00EC4341" w:rsidP="007846CC">
            <w:pPr>
              <w:pStyle w:val="Tablebody"/>
            </w:pPr>
            <w:r>
              <w:t>No</w:t>
            </w:r>
          </w:p>
        </w:tc>
        <w:tc>
          <w:tcPr>
            <w:tcW w:w="1702" w:type="dxa"/>
            <w:vAlign w:val="center"/>
          </w:tcPr>
          <w:p w14:paraId="0C6DB382" w14:textId="77777777" w:rsidR="00EC4341" w:rsidRDefault="00EC4341" w:rsidP="007846CC">
            <w:pPr>
              <w:pStyle w:val="Tablebody"/>
            </w:pPr>
            <w:r>
              <w:t>Yes</w:t>
            </w:r>
          </w:p>
        </w:tc>
        <w:tc>
          <w:tcPr>
            <w:tcW w:w="1702" w:type="dxa"/>
            <w:vAlign w:val="center"/>
          </w:tcPr>
          <w:p w14:paraId="678C474F" w14:textId="77777777" w:rsidR="00EC4341" w:rsidRDefault="00EC4341" w:rsidP="007846CC">
            <w:pPr>
              <w:pStyle w:val="Tablebody"/>
            </w:pPr>
            <w:r>
              <w:t>Yes</w:t>
            </w:r>
          </w:p>
        </w:tc>
      </w:tr>
      <w:tr w:rsidR="00EC4341" w14:paraId="3604347D" w14:textId="77777777" w:rsidTr="007846CC">
        <w:tc>
          <w:tcPr>
            <w:tcW w:w="1777" w:type="dxa"/>
            <w:vAlign w:val="center"/>
          </w:tcPr>
          <w:p w14:paraId="767FCF81" w14:textId="77777777" w:rsidR="00EC4341" w:rsidRDefault="00EC4341" w:rsidP="007846CC">
            <w:pPr>
              <w:pStyle w:val="Tablebody"/>
            </w:pPr>
            <w:r w:rsidRPr="006E103B">
              <w:rPr>
                <w:i/>
              </w:rPr>
              <w:t>Ab initio</w:t>
            </w:r>
            <w:r>
              <w:t xml:space="preserve"> Gnomon models</w:t>
            </w:r>
          </w:p>
        </w:tc>
        <w:tc>
          <w:tcPr>
            <w:tcW w:w="1711" w:type="dxa"/>
            <w:vAlign w:val="center"/>
          </w:tcPr>
          <w:p w14:paraId="204887C5" w14:textId="77777777" w:rsidR="00EC4341" w:rsidRDefault="00EC4341" w:rsidP="007846CC">
            <w:pPr>
              <w:pStyle w:val="Tablebody"/>
            </w:pPr>
            <w:r>
              <w:t>No</w:t>
            </w:r>
          </w:p>
        </w:tc>
        <w:tc>
          <w:tcPr>
            <w:tcW w:w="1702" w:type="dxa"/>
            <w:vAlign w:val="center"/>
          </w:tcPr>
          <w:p w14:paraId="198D4671" w14:textId="77777777" w:rsidR="00EC4341" w:rsidRDefault="00EC4341" w:rsidP="007846CC">
            <w:pPr>
              <w:pStyle w:val="Tablebody"/>
            </w:pPr>
            <w:r>
              <w:t>No</w:t>
            </w:r>
          </w:p>
        </w:tc>
        <w:tc>
          <w:tcPr>
            <w:tcW w:w="1702" w:type="dxa"/>
            <w:vAlign w:val="center"/>
          </w:tcPr>
          <w:p w14:paraId="5BD42787" w14:textId="77777777" w:rsidR="00EC4341" w:rsidRDefault="00EC4341" w:rsidP="007846CC">
            <w:pPr>
              <w:pStyle w:val="Tablebody"/>
            </w:pPr>
            <w:r>
              <w:t>Yes</w:t>
            </w:r>
          </w:p>
        </w:tc>
        <w:tc>
          <w:tcPr>
            <w:tcW w:w="1702" w:type="dxa"/>
            <w:vAlign w:val="center"/>
          </w:tcPr>
          <w:p w14:paraId="74FD5502" w14:textId="77777777" w:rsidR="00EC4341" w:rsidRDefault="00EC4341" w:rsidP="007846CC">
            <w:pPr>
              <w:pStyle w:val="Tablebody"/>
            </w:pPr>
            <w:r>
              <w:t>Yes</w:t>
            </w:r>
          </w:p>
        </w:tc>
        <w:tc>
          <w:tcPr>
            <w:tcW w:w="1702" w:type="dxa"/>
            <w:vAlign w:val="center"/>
          </w:tcPr>
          <w:p w14:paraId="35B32E4E" w14:textId="77777777" w:rsidR="00EC4341" w:rsidRDefault="00EC4341" w:rsidP="007846CC">
            <w:pPr>
              <w:pStyle w:val="Tablebody"/>
            </w:pPr>
            <w:r>
              <w:t>Yes</w:t>
            </w:r>
          </w:p>
        </w:tc>
      </w:tr>
    </w:tbl>
    <w:p w14:paraId="7D670D3C" w14:textId="77777777" w:rsidR="00EC4341" w:rsidRDefault="00EC4341" w:rsidP="00F96E0D"/>
    <w:p w14:paraId="7573A58A" w14:textId="77777777" w:rsidR="00EC4341" w:rsidRDefault="00EC4341" w:rsidP="00F96E0D"/>
    <w:p w14:paraId="70A28AF4" w14:textId="77777777" w:rsidR="00EC4341" w:rsidRPr="00F96E0D" w:rsidRDefault="00EC4341" w:rsidP="00F96E0D"/>
    <w:sectPr w:rsidR="00EC4341" w:rsidRPr="00F96E0D" w:rsidSect="00AD2F0B">
      <w:type w:val="continuous"/>
      <w:pgSz w:w="12240" w:h="15840" w:code="1"/>
      <w:pgMar w:top="1080" w:right="1080" w:bottom="1080" w:left="1080"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6A956" w14:textId="77777777" w:rsidR="00F96E0D" w:rsidRDefault="00F96E0D">
      <w:r>
        <w:separator/>
      </w:r>
    </w:p>
  </w:endnote>
  <w:endnote w:type="continuationSeparator" w:id="0">
    <w:p w14:paraId="2DF944B8" w14:textId="77777777" w:rsidR="00F96E0D" w:rsidRDefault="00F96E0D">
      <w:r>
        <w:continuationSeparator/>
      </w:r>
    </w:p>
  </w:endnote>
  <w:endnote w:type="continuationNotice" w:id="1">
    <w:p w14:paraId="5410B386" w14:textId="77777777" w:rsidR="00F96E0D" w:rsidRDefault="00F96E0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4BB09" w14:textId="77777777" w:rsidR="00F96E0D" w:rsidRDefault="00F96E0D">
      <w:r>
        <w:separator/>
      </w:r>
    </w:p>
  </w:footnote>
  <w:footnote w:type="continuationSeparator" w:id="0">
    <w:p w14:paraId="032E4C77" w14:textId="77777777" w:rsidR="00F96E0D" w:rsidRDefault="00F96E0D">
      <w:r>
        <w:continuationSeparator/>
      </w:r>
    </w:p>
  </w:footnote>
  <w:footnote w:type="continuationNotice" w:id="1">
    <w:p w14:paraId="601B7776" w14:textId="77777777" w:rsidR="00F96E0D" w:rsidRDefault="00F96E0D">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24436"/>
    <w:multiLevelType w:val="hybridMultilevel"/>
    <w:tmpl w:val="000C3380"/>
    <w:lvl w:ilvl="0" w:tplc="AD2037E8">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024A7"/>
    <w:multiLevelType w:val="hybridMultilevel"/>
    <w:tmpl w:val="93BE5D68"/>
    <w:lvl w:ilvl="0" w:tplc="AD2037E8">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632BB"/>
    <w:multiLevelType w:val="hybridMultilevel"/>
    <w:tmpl w:val="D632E1DE"/>
    <w:lvl w:ilvl="0" w:tplc="AD2037E8">
      <w:numFmt w:val="bullet"/>
      <w:lvlText w:val=""/>
      <w:lvlJc w:val="left"/>
      <w:pPr>
        <w:ind w:left="720" w:hanging="360"/>
      </w:pPr>
      <w:rPr>
        <w:rFonts w:ascii="Symbol" w:eastAsia="Time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A0236"/>
    <w:multiLevelType w:val="hybridMultilevel"/>
    <w:tmpl w:val="209682E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32016"/>
    <w:multiLevelType w:val="hybridMultilevel"/>
    <w:tmpl w:val="534E40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EF24C2"/>
    <w:multiLevelType w:val="hybridMultilevel"/>
    <w:tmpl w:val="216A50F8"/>
    <w:lvl w:ilvl="0" w:tplc="AD2037E8">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97AD2"/>
    <w:multiLevelType w:val="hybridMultilevel"/>
    <w:tmpl w:val="3AA66FBE"/>
    <w:lvl w:ilvl="0" w:tplc="4CA02C0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3F7A25"/>
    <w:multiLevelType w:val="multilevel"/>
    <w:tmpl w:val="7BA2626E"/>
    <w:lvl w:ilvl="0">
      <w:start w:val="1"/>
      <w:numFmt w:val="decimal"/>
      <w:lvlText w:val="%1."/>
      <w:lvlJc w:val="left"/>
      <w:pPr>
        <w:ind w:left="857" w:hanging="360"/>
      </w:pPr>
      <w:rPr>
        <w:rFonts w:hint="default"/>
      </w:rPr>
    </w:lvl>
    <w:lvl w:ilvl="1">
      <w:start w:val="1"/>
      <w:numFmt w:val="lowerLetter"/>
      <w:lvlText w:val="%2."/>
      <w:lvlJc w:val="left"/>
      <w:pPr>
        <w:ind w:left="1577" w:hanging="360"/>
      </w:pPr>
    </w:lvl>
    <w:lvl w:ilvl="2">
      <w:start w:val="1"/>
      <w:numFmt w:val="lowerRoman"/>
      <w:lvlText w:val="%3."/>
      <w:lvlJc w:val="right"/>
      <w:pPr>
        <w:ind w:left="2297" w:hanging="180"/>
      </w:pPr>
    </w:lvl>
    <w:lvl w:ilvl="3">
      <w:start w:val="1"/>
      <w:numFmt w:val="decimal"/>
      <w:lvlText w:val="%4."/>
      <w:lvlJc w:val="left"/>
      <w:pPr>
        <w:ind w:left="3017" w:hanging="360"/>
      </w:pPr>
    </w:lvl>
    <w:lvl w:ilvl="4">
      <w:start w:val="1"/>
      <w:numFmt w:val="lowerLetter"/>
      <w:lvlText w:val="%5."/>
      <w:lvlJc w:val="left"/>
      <w:pPr>
        <w:ind w:left="3737" w:hanging="360"/>
      </w:pPr>
    </w:lvl>
    <w:lvl w:ilvl="5">
      <w:start w:val="1"/>
      <w:numFmt w:val="lowerRoman"/>
      <w:lvlText w:val="%6."/>
      <w:lvlJc w:val="right"/>
      <w:pPr>
        <w:ind w:left="4457" w:hanging="180"/>
      </w:pPr>
    </w:lvl>
    <w:lvl w:ilvl="6">
      <w:start w:val="1"/>
      <w:numFmt w:val="decimal"/>
      <w:lvlText w:val="%7."/>
      <w:lvlJc w:val="left"/>
      <w:pPr>
        <w:ind w:left="5177" w:hanging="360"/>
      </w:pPr>
    </w:lvl>
    <w:lvl w:ilvl="7">
      <w:start w:val="1"/>
      <w:numFmt w:val="lowerLetter"/>
      <w:lvlText w:val="%8."/>
      <w:lvlJc w:val="left"/>
      <w:pPr>
        <w:ind w:left="5897" w:hanging="360"/>
      </w:pPr>
    </w:lvl>
    <w:lvl w:ilvl="8">
      <w:start w:val="1"/>
      <w:numFmt w:val="lowerRoman"/>
      <w:lvlText w:val="%9."/>
      <w:lvlJc w:val="right"/>
      <w:pPr>
        <w:ind w:left="6617" w:hanging="180"/>
      </w:pPr>
    </w:lvl>
  </w:abstractNum>
  <w:abstractNum w:abstractNumId="8" w15:restartNumberingAfterBreak="0">
    <w:nsid w:val="39B104A4"/>
    <w:multiLevelType w:val="hybridMultilevel"/>
    <w:tmpl w:val="8B662D60"/>
    <w:lvl w:ilvl="0" w:tplc="AD2037E8">
      <w:numFmt w:val="bullet"/>
      <w:lvlText w:val=""/>
      <w:lvlJc w:val="left"/>
      <w:pPr>
        <w:ind w:left="720" w:hanging="360"/>
      </w:pPr>
      <w:rPr>
        <w:rFonts w:ascii="Symbol" w:eastAsia="Times" w:hAnsi="Symbo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D2EC2"/>
    <w:multiLevelType w:val="hybridMultilevel"/>
    <w:tmpl w:val="09A8A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F2534"/>
    <w:multiLevelType w:val="hybridMultilevel"/>
    <w:tmpl w:val="E9A06558"/>
    <w:lvl w:ilvl="0" w:tplc="AD2037E8">
      <w:numFmt w:val="bullet"/>
      <w:lvlText w:val=""/>
      <w:lvlJc w:val="left"/>
      <w:pPr>
        <w:ind w:left="360" w:hanging="360"/>
      </w:pPr>
      <w:rPr>
        <w:rFonts w:ascii="Symbol" w:eastAsia="Times" w:hAnsi="Symbol"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E572DA"/>
    <w:multiLevelType w:val="hybridMultilevel"/>
    <w:tmpl w:val="BD2CE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8C05A2"/>
    <w:multiLevelType w:val="hybridMultilevel"/>
    <w:tmpl w:val="AA2A7B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E47A5F"/>
    <w:multiLevelType w:val="multilevel"/>
    <w:tmpl w:val="D862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AD2C1C"/>
    <w:multiLevelType w:val="hybridMultilevel"/>
    <w:tmpl w:val="3F08A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852AC5"/>
    <w:multiLevelType w:val="multilevel"/>
    <w:tmpl w:val="7BA2626E"/>
    <w:lvl w:ilvl="0">
      <w:start w:val="1"/>
      <w:numFmt w:val="decimal"/>
      <w:lvlText w:val="%1."/>
      <w:lvlJc w:val="left"/>
      <w:pPr>
        <w:ind w:left="857" w:hanging="360"/>
      </w:pPr>
      <w:rPr>
        <w:rFonts w:hint="default"/>
      </w:rPr>
    </w:lvl>
    <w:lvl w:ilvl="1">
      <w:start w:val="1"/>
      <w:numFmt w:val="lowerLetter"/>
      <w:lvlText w:val="%2."/>
      <w:lvlJc w:val="left"/>
      <w:pPr>
        <w:ind w:left="1577" w:hanging="360"/>
      </w:pPr>
    </w:lvl>
    <w:lvl w:ilvl="2">
      <w:start w:val="1"/>
      <w:numFmt w:val="lowerRoman"/>
      <w:lvlText w:val="%3."/>
      <w:lvlJc w:val="right"/>
      <w:pPr>
        <w:ind w:left="2297" w:hanging="180"/>
      </w:pPr>
    </w:lvl>
    <w:lvl w:ilvl="3">
      <w:start w:val="1"/>
      <w:numFmt w:val="decimal"/>
      <w:lvlText w:val="%4."/>
      <w:lvlJc w:val="left"/>
      <w:pPr>
        <w:ind w:left="3017" w:hanging="360"/>
      </w:pPr>
    </w:lvl>
    <w:lvl w:ilvl="4">
      <w:start w:val="1"/>
      <w:numFmt w:val="lowerLetter"/>
      <w:lvlText w:val="%5."/>
      <w:lvlJc w:val="left"/>
      <w:pPr>
        <w:ind w:left="3737" w:hanging="360"/>
      </w:pPr>
    </w:lvl>
    <w:lvl w:ilvl="5">
      <w:start w:val="1"/>
      <w:numFmt w:val="lowerRoman"/>
      <w:lvlText w:val="%6."/>
      <w:lvlJc w:val="right"/>
      <w:pPr>
        <w:ind w:left="4457" w:hanging="180"/>
      </w:pPr>
    </w:lvl>
    <w:lvl w:ilvl="6">
      <w:start w:val="1"/>
      <w:numFmt w:val="decimal"/>
      <w:lvlText w:val="%7."/>
      <w:lvlJc w:val="left"/>
      <w:pPr>
        <w:ind w:left="5177" w:hanging="360"/>
      </w:pPr>
    </w:lvl>
    <w:lvl w:ilvl="7">
      <w:start w:val="1"/>
      <w:numFmt w:val="lowerLetter"/>
      <w:lvlText w:val="%8."/>
      <w:lvlJc w:val="left"/>
      <w:pPr>
        <w:ind w:left="5897" w:hanging="360"/>
      </w:pPr>
    </w:lvl>
    <w:lvl w:ilvl="8">
      <w:start w:val="1"/>
      <w:numFmt w:val="lowerRoman"/>
      <w:lvlText w:val="%9."/>
      <w:lvlJc w:val="right"/>
      <w:pPr>
        <w:ind w:left="6617" w:hanging="180"/>
      </w:pPr>
    </w:lvl>
  </w:abstractNum>
  <w:abstractNum w:abstractNumId="16" w15:restartNumberingAfterBreak="0">
    <w:nsid w:val="67D350A3"/>
    <w:multiLevelType w:val="hybridMultilevel"/>
    <w:tmpl w:val="727EC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271BC3"/>
    <w:multiLevelType w:val="hybridMultilevel"/>
    <w:tmpl w:val="8EDC153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DA5264"/>
    <w:multiLevelType w:val="hybridMultilevel"/>
    <w:tmpl w:val="22429CE6"/>
    <w:lvl w:ilvl="0" w:tplc="AD2037E8">
      <w:numFmt w:val="bullet"/>
      <w:lvlText w:val=""/>
      <w:lvlJc w:val="left"/>
      <w:pPr>
        <w:ind w:left="720" w:hanging="360"/>
      </w:pPr>
      <w:rPr>
        <w:rFonts w:ascii="Symbol" w:eastAsia="Time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6"/>
  </w:num>
  <w:num w:numId="6">
    <w:abstractNumId w:val="13"/>
  </w:num>
  <w:num w:numId="7">
    <w:abstractNumId w:val="12"/>
  </w:num>
  <w:num w:numId="8">
    <w:abstractNumId w:val="16"/>
  </w:num>
  <w:num w:numId="9">
    <w:abstractNumId w:val="17"/>
  </w:num>
  <w:num w:numId="10">
    <w:abstractNumId w:val="4"/>
  </w:num>
  <w:num w:numId="11">
    <w:abstractNumId w:val="15"/>
  </w:num>
  <w:num w:numId="12">
    <w:abstractNumId w:val="11"/>
  </w:num>
  <w:num w:numId="13">
    <w:abstractNumId w:val="8"/>
  </w:num>
  <w:num w:numId="14">
    <w:abstractNumId w:val="18"/>
  </w:num>
  <w:num w:numId="15">
    <w:abstractNumId w:val="10"/>
  </w:num>
  <w:num w:numId="16">
    <w:abstractNumId w:val="2"/>
  </w:num>
  <w:num w:numId="17">
    <w:abstractNumId w:val="9"/>
  </w:num>
  <w:num w:numId="18">
    <w:abstractNumId w:val="7"/>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C16"/>
    <w:rsid w:val="000018DF"/>
    <w:rsid w:val="00007EAE"/>
    <w:rsid w:val="00014C1C"/>
    <w:rsid w:val="00014C90"/>
    <w:rsid w:val="00015ED3"/>
    <w:rsid w:val="00021BC6"/>
    <w:rsid w:val="000228CD"/>
    <w:rsid w:val="000260B2"/>
    <w:rsid w:val="00026E82"/>
    <w:rsid w:val="0003323B"/>
    <w:rsid w:val="00033DC7"/>
    <w:rsid w:val="00036B14"/>
    <w:rsid w:val="000374DD"/>
    <w:rsid w:val="00041F3F"/>
    <w:rsid w:val="000435ED"/>
    <w:rsid w:val="00046AFC"/>
    <w:rsid w:val="00047F73"/>
    <w:rsid w:val="00050066"/>
    <w:rsid w:val="0005166C"/>
    <w:rsid w:val="00052E1F"/>
    <w:rsid w:val="00055B31"/>
    <w:rsid w:val="0006490C"/>
    <w:rsid w:val="00065BCA"/>
    <w:rsid w:val="00070CBB"/>
    <w:rsid w:val="0007517D"/>
    <w:rsid w:val="0008263C"/>
    <w:rsid w:val="00082DCB"/>
    <w:rsid w:val="000834DD"/>
    <w:rsid w:val="0008582D"/>
    <w:rsid w:val="00086C2E"/>
    <w:rsid w:val="00091BD6"/>
    <w:rsid w:val="0009460D"/>
    <w:rsid w:val="00095B9A"/>
    <w:rsid w:val="00097CF8"/>
    <w:rsid w:val="000A355F"/>
    <w:rsid w:val="000A6370"/>
    <w:rsid w:val="000A6F68"/>
    <w:rsid w:val="000B2A29"/>
    <w:rsid w:val="000B2D36"/>
    <w:rsid w:val="000B452F"/>
    <w:rsid w:val="000B4AAD"/>
    <w:rsid w:val="000C5393"/>
    <w:rsid w:val="000D2E1E"/>
    <w:rsid w:val="000D7531"/>
    <w:rsid w:val="000E075D"/>
    <w:rsid w:val="000E0A7B"/>
    <w:rsid w:val="000E112D"/>
    <w:rsid w:val="000F34E4"/>
    <w:rsid w:val="00100A73"/>
    <w:rsid w:val="00101896"/>
    <w:rsid w:val="00102C09"/>
    <w:rsid w:val="00103EF3"/>
    <w:rsid w:val="0010482C"/>
    <w:rsid w:val="00107CEF"/>
    <w:rsid w:val="00113005"/>
    <w:rsid w:val="00113C04"/>
    <w:rsid w:val="00116DD1"/>
    <w:rsid w:val="001200F6"/>
    <w:rsid w:val="00121B2A"/>
    <w:rsid w:val="001244FF"/>
    <w:rsid w:val="00140A45"/>
    <w:rsid w:val="00142230"/>
    <w:rsid w:val="0014280F"/>
    <w:rsid w:val="0014638B"/>
    <w:rsid w:val="00155F70"/>
    <w:rsid w:val="00161D53"/>
    <w:rsid w:val="001629A0"/>
    <w:rsid w:val="001632DA"/>
    <w:rsid w:val="001633F0"/>
    <w:rsid w:val="001633FA"/>
    <w:rsid w:val="001638CE"/>
    <w:rsid w:val="00164C54"/>
    <w:rsid w:val="00165D71"/>
    <w:rsid w:val="0017359F"/>
    <w:rsid w:val="001777F6"/>
    <w:rsid w:val="001821BF"/>
    <w:rsid w:val="00183413"/>
    <w:rsid w:val="00185AB6"/>
    <w:rsid w:val="001932B3"/>
    <w:rsid w:val="00194909"/>
    <w:rsid w:val="00196B88"/>
    <w:rsid w:val="00197359"/>
    <w:rsid w:val="001A3442"/>
    <w:rsid w:val="001A4360"/>
    <w:rsid w:val="001A6A5F"/>
    <w:rsid w:val="001B6F19"/>
    <w:rsid w:val="001D148B"/>
    <w:rsid w:val="001E428B"/>
    <w:rsid w:val="001E4BE6"/>
    <w:rsid w:val="001E4DDE"/>
    <w:rsid w:val="001E7227"/>
    <w:rsid w:val="001F15BD"/>
    <w:rsid w:val="001F57D9"/>
    <w:rsid w:val="00203D7C"/>
    <w:rsid w:val="00204734"/>
    <w:rsid w:val="00204E1C"/>
    <w:rsid w:val="00205C43"/>
    <w:rsid w:val="00207804"/>
    <w:rsid w:val="00212CAD"/>
    <w:rsid w:val="00213A3C"/>
    <w:rsid w:val="00225AF5"/>
    <w:rsid w:val="00225D14"/>
    <w:rsid w:val="002351BC"/>
    <w:rsid w:val="0023615D"/>
    <w:rsid w:val="00237B2B"/>
    <w:rsid w:val="00243941"/>
    <w:rsid w:val="002442CD"/>
    <w:rsid w:val="00245A71"/>
    <w:rsid w:val="00247376"/>
    <w:rsid w:val="00251135"/>
    <w:rsid w:val="00254C0C"/>
    <w:rsid w:val="0025541C"/>
    <w:rsid w:val="00256208"/>
    <w:rsid w:val="002611DA"/>
    <w:rsid w:val="00263050"/>
    <w:rsid w:val="002633DD"/>
    <w:rsid w:val="00264E88"/>
    <w:rsid w:val="00271899"/>
    <w:rsid w:val="00272879"/>
    <w:rsid w:val="00272A30"/>
    <w:rsid w:val="00274470"/>
    <w:rsid w:val="002750A8"/>
    <w:rsid w:val="00277974"/>
    <w:rsid w:val="002818A1"/>
    <w:rsid w:val="002824D9"/>
    <w:rsid w:val="00285264"/>
    <w:rsid w:val="0028640E"/>
    <w:rsid w:val="00290239"/>
    <w:rsid w:val="00291D34"/>
    <w:rsid w:val="00292CC1"/>
    <w:rsid w:val="00293C5E"/>
    <w:rsid w:val="002944AC"/>
    <w:rsid w:val="00297359"/>
    <w:rsid w:val="002A2545"/>
    <w:rsid w:val="002A4867"/>
    <w:rsid w:val="002A4F3A"/>
    <w:rsid w:val="002A567B"/>
    <w:rsid w:val="002A7F50"/>
    <w:rsid w:val="002B0B24"/>
    <w:rsid w:val="002B0CEC"/>
    <w:rsid w:val="002B78FA"/>
    <w:rsid w:val="002D0673"/>
    <w:rsid w:val="002D1AFC"/>
    <w:rsid w:val="002D39BE"/>
    <w:rsid w:val="002D61C1"/>
    <w:rsid w:val="002E1C35"/>
    <w:rsid w:val="002E37D0"/>
    <w:rsid w:val="002E3F36"/>
    <w:rsid w:val="002E479A"/>
    <w:rsid w:val="002E545F"/>
    <w:rsid w:val="002F1934"/>
    <w:rsid w:val="002F5572"/>
    <w:rsid w:val="002F6201"/>
    <w:rsid w:val="003012B3"/>
    <w:rsid w:val="00306A11"/>
    <w:rsid w:val="00306EA8"/>
    <w:rsid w:val="00311F0A"/>
    <w:rsid w:val="003152E6"/>
    <w:rsid w:val="003155E8"/>
    <w:rsid w:val="00316692"/>
    <w:rsid w:val="00324F49"/>
    <w:rsid w:val="00332ADE"/>
    <w:rsid w:val="00334BC5"/>
    <w:rsid w:val="00337141"/>
    <w:rsid w:val="00340A79"/>
    <w:rsid w:val="00343DCC"/>
    <w:rsid w:val="003456ED"/>
    <w:rsid w:val="00350814"/>
    <w:rsid w:val="003578FF"/>
    <w:rsid w:val="0036036B"/>
    <w:rsid w:val="00360D72"/>
    <w:rsid w:val="00364CDD"/>
    <w:rsid w:val="003774A4"/>
    <w:rsid w:val="00381213"/>
    <w:rsid w:val="00382A93"/>
    <w:rsid w:val="003846CC"/>
    <w:rsid w:val="00384AC7"/>
    <w:rsid w:val="003859A3"/>
    <w:rsid w:val="00397291"/>
    <w:rsid w:val="003972D9"/>
    <w:rsid w:val="003A28C8"/>
    <w:rsid w:val="003A5039"/>
    <w:rsid w:val="003A60C9"/>
    <w:rsid w:val="003B4CA5"/>
    <w:rsid w:val="003C3B68"/>
    <w:rsid w:val="003C5427"/>
    <w:rsid w:val="003C74C8"/>
    <w:rsid w:val="003C7E29"/>
    <w:rsid w:val="003D6113"/>
    <w:rsid w:val="003E2CF2"/>
    <w:rsid w:val="003E5DF5"/>
    <w:rsid w:val="003E7248"/>
    <w:rsid w:val="003F09EC"/>
    <w:rsid w:val="003F0A62"/>
    <w:rsid w:val="00401152"/>
    <w:rsid w:val="004055B7"/>
    <w:rsid w:val="004057B6"/>
    <w:rsid w:val="00406182"/>
    <w:rsid w:val="00406E77"/>
    <w:rsid w:val="00410C8D"/>
    <w:rsid w:val="0041142E"/>
    <w:rsid w:val="004150E6"/>
    <w:rsid w:val="0042027A"/>
    <w:rsid w:val="00422395"/>
    <w:rsid w:val="0043107C"/>
    <w:rsid w:val="00432680"/>
    <w:rsid w:val="00435EAE"/>
    <w:rsid w:val="00436065"/>
    <w:rsid w:val="004404CF"/>
    <w:rsid w:val="00441A17"/>
    <w:rsid w:val="00442A6D"/>
    <w:rsid w:val="004442B4"/>
    <w:rsid w:val="004471E6"/>
    <w:rsid w:val="00447237"/>
    <w:rsid w:val="00451BF9"/>
    <w:rsid w:val="004546F9"/>
    <w:rsid w:val="00456CDC"/>
    <w:rsid w:val="0045724A"/>
    <w:rsid w:val="00460FFE"/>
    <w:rsid w:val="00462C7E"/>
    <w:rsid w:val="0046789A"/>
    <w:rsid w:val="0047081D"/>
    <w:rsid w:val="00473B06"/>
    <w:rsid w:val="00477F8B"/>
    <w:rsid w:val="00481D83"/>
    <w:rsid w:val="00487F08"/>
    <w:rsid w:val="004A225A"/>
    <w:rsid w:val="004A2FF7"/>
    <w:rsid w:val="004B1CF9"/>
    <w:rsid w:val="004B2087"/>
    <w:rsid w:val="004C0B3A"/>
    <w:rsid w:val="004C3417"/>
    <w:rsid w:val="004C578F"/>
    <w:rsid w:val="004C6F69"/>
    <w:rsid w:val="004D0175"/>
    <w:rsid w:val="004D3F0E"/>
    <w:rsid w:val="004D4BDE"/>
    <w:rsid w:val="004D7185"/>
    <w:rsid w:val="004E62EA"/>
    <w:rsid w:val="004F0281"/>
    <w:rsid w:val="004F2231"/>
    <w:rsid w:val="004F39FD"/>
    <w:rsid w:val="004F45BB"/>
    <w:rsid w:val="004F501A"/>
    <w:rsid w:val="0050087C"/>
    <w:rsid w:val="00503281"/>
    <w:rsid w:val="0050505E"/>
    <w:rsid w:val="005075F9"/>
    <w:rsid w:val="00511822"/>
    <w:rsid w:val="00512235"/>
    <w:rsid w:val="0051661F"/>
    <w:rsid w:val="005211E1"/>
    <w:rsid w:val="00527CAA"/>
    <w:rsid w:val="005367E1"/>
    <w:rsid w:val="00542863"/>
    <w:rsid w:val="00544B51"/>
    <w:rsid w:val="005452E1"/>
    <w:rsid w:val="00545539"/>
    <w:rsid w:val="00552829"/>
    <w:rsid w:val="00553A15"/>
    <w:rsid w:val="00554A3A"/>
    <w:rsid w:val="00560FB1"/>
    <w:rsid w:val="005612F3"/>
    <w:rsid w:val="005648F7"/>
    <w:rsid w:val="005660A4"/>
    <w:rsid w:val="0056610D"/>
    <w:rsid w:val="005663AE"/>
    <w:rsid w:val="00566775"/>
    <w:rsid w:val="00572CA4"/>
    <w:rsid w:val="005763CF"/>
    <w:rsid w:val="00583400"/>
    <w:rsid w:val="005835D5"/>
    <w:rsid w:val="00584FB1"/>
    <w:rsid w:val="00585614"/>
    <w:rsid w:val="00591FF4"/>
    <w:rsid w:val="005A1D06"/>
    <w:rsid w:val="005A449C"/>
    <w:rsid w:val="005B2DE7"/>
    <w:rsid w:val="005B56CF"/>
    <w:rsid w:val="005B7564"/>
    <w:rsid w:val="005B7A16"/>
    <w:rsid w:val="005C1A7A"/>
    <w:rsid w:val="005C206A"/>
    <w:rsid w:val="005C4DDC"/>
    <w:rsid w:val="005D0080"/>
    <w:rsid w:val="005D62EE"/>
    <w:rsid w:val="005D7773"/>
    <w:rsid w:val="005E10E7"/>
    <w:rsid w:val="005E4798"/>
    <w:rsid w:val="005E7519"/>
    <w:rsid w:val="005E7D22"/>
    <w:rsid w:val="005F0EC8"/>
    <w:rsid w:val="005F2F35"/>
    <w:rsid w:val="006010F0"/>
    <w:rsid w:val="00603E46"/>
    <w:rsid w:val="00604544"/>
    <w:rsid w:val="0060469F"/>
    <w:rsid w:val="0060725D"/>
    <w:rsid w:val="00612371"/>
    <w:rsid w:val="0061269C"/>
    <w:rsid w:val="00616493"/>
    <w:rsid w:val="0062680B"/>
    <w:rsid w:val="0062726D"/>
    <w:rsid w:val="006273F6"/>
    <w:rsid w:val="00631AF8"/>
    <w:rsid w:val="006357E4"/>
    <w:rsid w:val="006366A1"/>
    <w:rsid w:val="00641BD8"/>
    <w:rsid w:val="006428CD"/>
    <w:rsid w:val="00643252"/>
    <w:rsid w:val="00644B1B"/>
    <w:rsid w:val="00644FF3"/>
    <w:rsid w:val="00646374"/>
    <w:rsid w:val="00646A19"/>
    <w:rsid w:val="00650D15"/>
    <w:rsid w:val="00657113"/>
    <w:rsid w:val="00657DD4"/>
    <w:rsid w:val="00657E1C"/>
    <w:rsid w:val="00660C47"/>
    <w:rsid w:val="00660F88"/>
    <w:rsid w:val="006611D4"/>
    <w:rsid w:val="0066283B"/>
    <w:rsid w:val="00665EFC"/>
    <w:rsid w:val="0066649C"/>
    <w:rsid w:val="00672734"/>
    <w:rsid w:val="00675095"/>
    <w:rsid w:val="0067578D"/>
    <w:rsid w:val="00682531"/>
    <w:rsid w:val="00691EEB"/>
    <w:rsid w:val="00693BF0"/>
    <w:rsid w:val="006966A0"/>
    <w:rsid w:val="00696E5C"/>
    <w:rsid w:val="00697EB0"/>
    <w:rsid w:val="006A1E9B"/>
    <w:rsid w:val="006A2624"/>
    <w:rsid w:val="006A342B"/>
    <w:rsid w:val="006A6442"/>
    <w:rsid w:val="006A76E5"/>
    <w:rsid w:val="006B58B2"/>
    <w:rsid w:val="006B5CD1"/>
    <w:rsid w:val="006C2BC3"/>
    <w:rsid w:val="006C3156"/>
    <w:rsid w:val="006C6D39"/>
    <w:rsid w:val="006C7A1C"/>
    <w:rsid w:val="006D0227"/>
    <w:rsid w:val="006D6E68"/>
    <w:rsid w:val="006E103B"/>
    <w:rsid w:val="006E5D1F"/>
    <w:rsid w:val="006E5E89"/>
    <w:rsid w:val="006F1470"/>
    <w:rsid w:val="006F2D62"/>
    <w:rsid w:val="006F4A67"/>
    <w:rsid w:val="006F5017"/>
    <w:rsid w:val="006F52D3"/>
    <w:rsid w:val="006F7A13"/>
    <w:rsid w:val="006F7DD0"/>
    <w:rsid w:val="0070096E"/>
    <w:rsid w:val="007013AB"/>
    <w:rsid w:val="00702403"/>
    <w:rsid w:val="007032BF"/>
    <w:rsid w:val="007037D5"/>
    <w:rsid w:val="00703981"/>
    <w:rsid w:val="00706FBA"/>
    <w:rsid w:val="00707151"/>
    <w:rsid w:val="00710C57"/>
    <w:rsid w:val="00714018"/>
    <w:rsid w:val="00714928"/>
    <w:rsid w:val="00717DA7"/>
    <w:rsid w:val="00724B51"/>
    <w:rsid w:val="00726A47"/>
    <w:rsid w:val="007304B1"/>
    <w:rsid w:val="007310EF"/>
    <w:rsid w:val="00732CBE"/>
    <w:rsid w:val="007330A9"/>
    <w:rsid w:val="007333FF"/>
    <w:rsid w:val="00734805"/>
    <w:rsid w:val="007409F7"/>
    <w:rsid w:val="00742C94"/>
    <w:rsid w:val="007442B1"/>
    <w:rsid w:val="00752E0F"/>
    <w:rsid w:val="0075367C"/>
    <w:rsid w:val="00753AFF"/>
    <w:rsid w:val="00756218"/>
    <w:rsid w:val="00756C68"/>
    <w:rsid w:val="007574E1"/>
    <w:rsid w:val="00761CB6"/>
    <w:rsid w:val="00765141"/>
    <w:rsid w:val="007666C5"/>
    <w:rsid w:val="00772467"/>
    <w:rsid w:val="00775CB6"/>
    <w:rsid w:val="007823F5"/>
    <w:rsid w:val="00783991"/>
    <w:rsid w:val="007857F3"/>
    <w:rsid w:val="00785FDB"/>
    <w:rsid w:val="00791867"/>
    <w:rsid w:val="007937ED"/>
    <w:rsid w:val="0079611B"/>
    <w:rsid w:val="00796AAA"/>
    <w:rsid w:val="0079728B"/>
    <w:rsid w:val="007A0EFB"/>
    <w:rsid w:val="007B0095"/>
    <w:rsid w:val="007B18F6"/>
    <w:rsid w:val="007B2D33"/>
    <w:rsid w:val="007C3CF9"/>
    <w:rsid w:val="007D5FC1"/>
    <w:rsid w:val="007D679D"/>
    <w:rsid w:val="007E3C66"/>
    <w:rsid w:val="007E6855"/>
    <w:rsid w:val="007E6A0E"/>
    <w:rsid w:val="007E7D0F"/>
    <w:rsid w:val="007F1DAD"/>
    <w:rsid w:val="007F205C"/>
    <w:rsid w:val="007F252F"/>
    <w:rsid w:val="007F2DBD"/>
    <w:rsid w:val="007F39D6"/>
    <w:rsid w:val="007F3D66"/>
    <w:rsid w:val="007F3F1B"/>
    <w:rsid w:val="007F6D7F"/>
    <w:rsid w:val="0080794A"/>
    <w:rsid w:val="00807A49"/>
    <w:rsid w:val="00814E6F"/>
    <w:rsid w:val="00820CCE"/>
    <w:rsid w:val="0082293C"/>
    <w:rsid w:val="0082467E"/>
    <w:rsid w:val="00824E69"/>
    <w:rsid w:val="0082634C"/>
    <w:rsid w:val="00826661"/>
    <w:rsid w:val="00833256"/>
    <w:rsid w:val="0083387B"/>
    <w:rsid w:val="0083720B"/>
    <w:rsid w:val="00841925"/>
    <w:rsid w:val="00843166"/>
    <w:rsid w:val="00847E7A"/>
    <w:rsid w:val="008510F4"/>
    <w:rsid w:val="00854534"/>
    <w:rsid w:val="00854ECF"/>
    <w:rsid w:val="00856EBC"/>
    <w:rsid w:val="00857303"/>
    <w:rsid w:val="0086014A"/>
    <w:rsid w:val="00860252"/>
    <w:rsid w:val="00861510"/>
    <w:rsid w:val="00863435"/>
    <w:rsid w:val="00863C73"/>
    <w:rsid w:val="0086430A"/>
    <w:rsid w:val="00866249"/>
    <w:rsid w:val="0086712F"/>
    <w:rsid w:val="00867E60"/>
    <w:rsid w:val="008715C9"/>
    <w:rsid w:val="0087759E"/>
    <w:rsid w:val="0088199F"/>
    <w:rsid w:val="008822C8"/>
    <w:rsid w:val="008907CA"/>
    <w:rsid w:val="008926F8"/>
    <w:rsid w:val="008939A1"/>
    <w:rsid w:val="00893E24"/>
    <w:rsid w:val="008A1935"/>
    <w:rsid w:val="008A1C8E"/>
    <w:rsid w:val="008A2EB4"/>
    <w:rsid w:val="008B10B7"/>
    <w:rsid w:val="008B340A"/>
    <w:rsid w:val="008B7D34"/>
    <w:rsid w:val="008C27B0"/>
    <w:rsid w:val="008C42D2"/>
    <w:rsid w:val="008C73A5"/>
    <w:rsid w:val="008C7781"/>
    <w:rsid w:val="008D0631"/>
    <w:rsid w:val="008D2240"/>
    <w:rsid w:val="008D5228"/>
    <w:rsid w:val="008E6023"/>
    <w:rsid w:val="008F08E5"/>
    <w:rsid w:val="0090001D"/>
    <w:rsid w:val="0090148C"/>
    <w:rsid w:val="00906699"/>
    <w:rsid w:val="0091256D"/>
    <w:rsid w:val="00922426"/>
    <w:rsid w:val="0093092F"/>
    <w:rsid w:val="00931BF6"/>
    <w:rsid w:val="009324EE"/>
    <w:rsid w:val="00947504"/>
    <w:rsid w:val="009529A4"/>
    <w:rsid w:val="00957C79"/>
    <w:rsid w:val="00961D9D"/>
    <w:rsid w:val="009641DA"/>
    <w:rsid w:val="009660F1"/>
    <w:rsid w:val="009708D1"/>
    <w:rsid w:val="00982879"/>
    <w:rsid w:val="00982DD9"/>
    <w:rsid w:val="0098430A"/>
    <w:rsid w:val="00994363"/>
    <w:rsid w:val="00996CD2"/>
    <w:rsid w:val="00997CA6"/>
    <w:rsid w:val="009A2293"/>
    <w:rsid w:val="009A3A24"/>
    <w:rsid w:val="009A3F36"/>
    <w:rsid w:val="009B0AC2"/>
    <w:rsid w:val="009C1F3F"/>
    <w:rsid w:val="009D01F9"/>
    <w:rsid w:val="009D08E5"/>
    <w:rsid w:val="009D1764"/>
    <w:rsid w:val="009D29AA"/>
    <w:rsid w:val="009D334A"/>
    <w:rsid w:val="009D3D51"/>
    <w:rsid w:val="009D6E76"/>
    <w:rsid w:val="009E0806"/>
    <w:rsid w:val="009E0B72"/>
    <w:rsid w:val="009E4101"/>
    <w:rsid w:val="009E6F70"/>
    <w:rsid w:val="009F2739"/>
    <w:rsid w:val="009F4822"/>
    <w:rsid w:val="009F490E"/>
    <w:rsid w:val="009F4AE9"/>
    <w:rsid w:val="009F7B7F"/>
    <w:rsid w:val="00A044D9"/>
    <w:rsid w:val="00A05784"/>
    <w:rsid w:val="00A077E1"/>
    <w:rsid w:val="00A138D9"/>
    <w:rsid w:val="00A23437"/>
    <w:rsid w:val="00A2415A"/>
    <w:rsid w:val="00A254F1"/>
    <w:rsid w:val="00A34F6D"/>
    <w:rsid w:val="00A50442"/>
    <w:rsid w:val="00A55E17"/>
    <w:rsid w:val="00A561CE"/>
    <w:rsid w:val="00A57387"/>
    <w:rsid w:val="00A60C13"/>
    <w:rsid w:val="00A72AC8"/>
    <w:rsid w:val="00A73139"/>
    <w:rsid w:val="00A7373F"/>
    <w:rsid w:val="00A75AFB"/>
    <w:rsid w:val="00A80407"/>
    <w:rsid w:val="00A82CCA"/>
    <w:rsid w:val="00A84B4B"/>
    <w:rsid w:val="00A85FB1"/>
    <w:rsid w:val="00A85FD5"/>
    <w:rsid w:val="00AA011B"/>
    <w:rsid w:val="00AA1C2C"/>
    <w:rsid w:val="00AA236B"/>
    <w:rsid w:val="00AA2898"/>
    <w:rsid w:val="00AA2C82"/>
    <w:rsid w:val="00AA58ED"/>
    <w:rsid w:val="00AA7B52"/>
    <w:rsid w:val="00AB15DA"/>
    <w:rsid w:val="00AB4E1C"/>
    <w:rsid w:val="00AB5E04"/>
    <w:rsid w:val="00AB79CD"/>
    <w:rsid w:val="00AC1844"/>
    <w:rsid w:val="00AC3200"/>
    <w:rsid w:val="00AD2F0B"/>
    <w:rsid w:val="00AD366F"/>
    <w:rsid w:val="00AD6A2F"/>
    <w:rsid w:val="00AE2FC6"/>
    <w:rsid w:val="00AE763A"/>
    <w:rsid w:val="00AF071A"/>
    <w:rsid w:val="00AF341B"/>
    <w:rsid w:val="00AF5ABA"/>
    <w:rsid w:val="00AF5DF2"/>
    <w:rsid w:val="00B006CE"/>
    <w:rsid w:val="00B01DF7"/>
    <w:rsid w:val="00B02394"/>
    <w:rsid w:val="00B0393A"/>
    <w:rsid w:val="00B05565"/>
    <w:rsid w:val="00B1090A"/>
    <w:rsid w:val="00B11296"/>
    <w:rsid w:val="00B13230"/>
    <w:rsid w:val="00B137AB"/>
    <w:rsid w:val="00B13E02"/>
    <w:rsid w:val="00B140D5"/>
    <w:rsid w:val="00B16C16"/>
    <w:rsid w:val="00B16DDC"/>
    <w:rsid w:val="00B256BF"/>
    <w:rsid w:val="00B267E7"/>
    <w:rsid w:val="00B31011"/>
    <w:rsid w:val="00B31A7C"/>
    <w:rsid w:val="00B34B97"/>
    <w:rsid w:val="00B34F4F"/>
    <w:rsid w:val="00B3744B"/>
    <w:rsid w:val="00B475F4"/>
    <w:rsid w:val="00B47775"/>
    <w:rsid w:val="00B47FD8"/>
    <w:rsid w:val="00B51423"/>
    <w:rsid w:val="00B5779D"/>
    <w:rsid w:val="00B57918"/>
    <w:rsid w:val="00B62F5D"/>
    <w:rsid w:val="00B64251"/>
    <w:rsid w:val="00B71F37"/>
    <w:rsid w:val="00B7657F"/>
    <w:rsid w:val="00B80E50"/>
    <w:rsid w:val="00B83468"/>
    <w:rsid w:val="00B85C80"/>
    <w:rsid w:val="00BA1A6F"/>
    <w:rsid w:val="00BA1D54"/>
    <w:rsid w:val="00BA1F67"/>
    <w:rsid w:val="00BB4BFB"/>
    <w:rsid w:val="00BC0572"/>
    <w:rsid w:val="00BC34AB"/>
    <w:rsid w:val="00BC6863"/>
    <w:rsid w:val="00BD58A5"/>
    <w:rsid w:val="00BD58AF"/>
    <w:rsid w:val="00BE265B"/>
    <w:rsid w:val="00BE622B"/>
    <w:rsid w:val="00BF00E6"/>
    <w:rsid w:val="00BF6C21"/>
    <w:rsid w:val="00BF762F"/>
    <w:rsid w:val="00BF76A1"/>
    <w:rsid w:val="00C02266"/>
    <w:rsid w:val="00C03F0C"/>
    <w:rsid w:val="00C10C13"/>
    <w:rsid w:val="00C1457F"/>
    <w:rsid w:val="00C14ED5"/>
    <w:rsid w:val="00C164C7"/>
    <w:rsid w:val="00C177BE"/>
    <w:rsid w:val="00C2024F"/>
    <w:rsid w:val="00C24414"/>
    <w:rsid w:val="00C24B8F"/>
    <w:rsid w:val="00C30505"/>
    <w:rsid w:val="00C32EE2"/>
    <w:rsid w:val="00C36078"/>
    <w:rsid w:val="00C36217"/>
    <w:rsid w:val="00C36262"/>
    <w:rsid w:val="00C4690C"/>
    <w:rsid w:val="00C51E99"/>
    <w:rsid w:val="00C52C4E"/>
    <w:rsid w:val="00C61B45"/>
    <w:rsid w:val="00C64D8A"/>
    <w:rsid w:val="00C72F59"/>
    <w:rsid w:val="00C74DE4"/>
    <w:rsid w:val="00C7541D"/>
    <w:rsid w:val="00C75E65"/>
    <w:rsid w:val="00C80D2D"/>
    <w:rsid w:val="00C81FAB"/>
    <w:rsid w:val="00C86585"/>
    <w:rsid w:val="00C86682"/>
    <w:rsid w:val="00C90F9D"/>
    <w:rsid w:val="00C97C26"/>
    <w:rsid w:val="00CA05C1"/>
    <w:rsid w:val="00CA54E0"/>
    <w:rsid w:val="00CA6774"/>
    <w:rsid w:val="00CB0693"/>
    <w:rsid w:val="00CB14F9"/>
    <w:rsid w:val="00CB42E5"/>
    <w:rsid w:val="00CC4FAD"/>
    <w:rsid w:val="00CC5A25"/>
    <w:rsid w:val="00CC6912"/>
    <w:rsid w:val="00CC706D"/>
    <w:rsid w:val="00CD1DEB"/>
    <w:rsid w:val="00CD5D52"/>
    <w:rsid w:val="00CE1263"/>
    <w:rsid w:val="00CE1FB9"/>
    <w:rsid w:val="00CE2A80"/>
    <w:rsid w:val="00CE4159"/>
    <w:rsid w:val="00CE4D46"/>
    <w:rsid w:val="00CF3191"/>
    <w:rsid w:val="00CF62B2"/>
    <w:rsid w:val="00D0034C"/>
    <w:rsid w:val="00D01963"/>
    <w:rsid w:val="00D036B0"/>
    <w:rsid w:val="00D03E9F"/>
    <w:rsid w:val="00D0458C"/>
    <w:rsid w:val="00D06B34"/>
    <w:rsid w:val="00D07B58"/>
    <w:rsid w:val="00D1580B"/>
    <w:rsid w:val="00D16E75"/>
    <w:rsid w:val="00D21C50"/>
    <w:rsid w:val="00D25B33"/>
    <w:rsid w:val="00D32B17"/>
    <w:rsid w:val="00D33527"/>
    <w:rsid w:val="00D3703D"/>
    <w:rsid w:val="00D37D73"/>
    <w:rsid w:val="00D40F4E"/>
    <w:rsid w:val="00D41C29"/>
    <w:rsid w:val="00D42675"/>
    <w:rsid w:val="00D427E2"/>
    <w:rsid w:val="00D4326F"/>
    <w:rsid w:val="00D43687"/>
    <w:rsid w:val="00D5112F"/>
    <w:rsid w:val="00D56508"/>
    <w:rsid w:val="00D6062C"/>
    <w:rsid w:val="00D647FA"/>
    <w:rsid w:val="00D66BA7"/>
    <w:rsid w:val="00D720A4"/>
    <w:rsid w:val="00D72196"/>
    <w:rsid w:val="00D7272C"/>
    <w:rsid w:val="00D72C8C"/>
    <w:rsid w:val="00D75F3D"/>
    <w:rsid w:val="00D85240"/>
    <w:rsid w:val="00D90985"/>
    <w:rsid w:val="00D942CA"/>
    <w:rsid w:val="00D975F3"/>
    <w:rsid w:val="00DA1932"/>
    <w:rsid w:val="00DA2A38"/>
    <w:rsid w:val="00DA2D82"/>
    <w:rsid w:val="00DA3F77"/>
    <w:rsid w:val="00DA450E"/>
    <w:rsid w:val="00DA56E5"/>
    <w:rsid w:val="00DA6D06"/>
    <w:rsid w:val="00DB1CC3"/>
    <w:rsid w:val="00DB7697"/>
    <w:rsid w:val="00DB7C16"/>
    <w:rsid w:val="00DB7D23"/>
    <w:rsid w:val="00DC0599"/>
    <w:rsid w:val="00DC136C"/>
    <w:rsid w:val="00DC2D3F"/>
    <w:rsid w:val="00DC2F78"/>
    <w:rsid w:val="00DC4C9D"/>
    <w:rsid w:val="00DC5801"/>
    <w:rsid w:val="00DC5BF8"/>
    <w:rsid w:val="00DD0F26"/>
    <w:rsid w:val="00DD1C48"/>
    <w:rsid w:val="00DE020D"/>
    <w:rsid w:val="00DE1AA5"/>
    <w:rsid w:val="00DE3B1F"/>
    <w:rsid w:val="00DE4EBB"/>
    <w:rsid w:val="00DE6CB5"/>
    <w:rsid w:val="00DE6E0C"/>
    <w:rsid w:val="00DE7829"/>
    <w:rsid w:val="00DE7EB2"/>
    <w:rsid w:val="00DF1F07"/>
    <w:rsid w:val="00DF254E"/>
    <w:rsid w:val="00DF5B37"/>
    <w:rsid w:val="00DF5DC2"/>
    <w:rsid w:val="00DF6B0C"/>
    <w:rsid w:val="00DF70DB"/>
    <w:rsid w:val="00E012ED"/>
    <w:rsid w:val="00E01E60"/>
    <w:rsid w:val="00E061A9"/>
    <w:rsid w:val="00E066A7"/>
    <w:rsid w:val="00E10213"/>
    <w:rsid w:val="00E10DA3"/>
    <w:rsid w:val="00E11000"/>
    <w:rsid w:val="00E11A5D"/>
    <w:rsid w:val="00E23C4C"/>
    <w:rsid w:val="00E244C8"/>
    <w:rsid w:val="00E2595D"/>
    <w:rsid w:val="00E2712A"/>
    <w:rsid w:val="00E276C9"/>
    <w:rsid w:val="00E31170"/>
    <w:rsid w:val="00E33812"/>
    <w:rsid w:val="00E352C4"/>
    <w:rsid w:val="00E355FD"/>
    <w:rsid w:val="00E40D53"/>
    <w:rsid w:val="00E41DA4"/>
    <w:rsid w:val="00E45927"/>
    <w:rsid w:val="00E61595"/>
    <w:rsid w:val="00E647E1"/>
    <w:rsid w:val="00E649F3"/>
    <w:rsid w:val="00E64B23"/>
    <w:rsid w:val="00E6630B"/>
    <w:rsid w:val="00E70F5B"/>
    <w:rsid w:val="00E85BDE"/>
    <w:rsid w:val="00E9023E"/>
    <w:rsid w:val="00E903D3"/>
    <w:rsid w:val="00E905E9"/>
    <w:rsid w:val="00E913B4"/>
    <w:rsid w:val="00E924B2"/>
    <w:rsid w:val="00E9479C"/>
    <w:rsid w:val="00E94ABE"/>
    <w:rsid w:val="00E95DD4"/>
    <w:rsid w:val="00E96707"/>
    <w:rsid w:val="00EA7153"/>
    <w:rsid w:val="00EB35EA"/>
    <w:rsid w:val="00EB37A4"/>
    <w:rsid w:val="00EC187A"/>
    <w:rsid w:val="00EC1B36"/>
    <w:rsid w:val="00EC30AD"/>
    <w:rsid w:val="00EC4341"/>
    <w:rsid w:val="00ED2008"/>
    <w:rsid w:val="00ED7FC8"/>
    <w:rsid w:val="00EE029E"/>
    <w:rsid w:val="00EE30DD"/>
    <w:rsid w:val="00EE357F"/>
    <w:rsid w:val="00EE3CCE"/>
    <w:rsid w:val="00EE48DF"/>
    <w:rsid w:val="00EE5A3F"/>
    <w:rsid w:val="00EF3F6B"/>
    <w:rsid w:val="00EF4A67"/>
    <w:rsid w:val="00EF5011"/>
    <w:rsid w:val="00EF77F9"/>
    <w:rsid w:val="00EF7A3F"/>
    <w:rsid w:val="00F02343"/>
    <w:rsid w:val="00F13274"/>
    <w:rsid w:val="00F153B3"/>
    <w:rsid w:val="00F179AC"/>
    <w:rsid w:val="00F203FF"/>
    <w:rsid w:val="00F22D25"/>
    <w:rsid w:val="00F30757"/>
    <w:rsid w:val="00F31806"/>
    <w:rsid w:val="00F32A8D"/>
    <w:rsid w:val="00F36A02"/>
    <w:rsid w:val="00F437C8"/>
    <w:rsid w:val="00F468D1"/>
    <w:rsid w:val="00F474F2"/>
    <w:rsid w:val="00F51A0F"/>
    <w:rsid w:val="00F52B83"/>
    <w:rsid w:val="00F53226"/>
    <w:rsid w:val="00F5412B"/>
    <w:rsid w:val="00F5422D"/>
    <w:rsid w:val="00F557BE"/>
    <w:rsid w:val="00F659D9"/>
    <w:rsid w:val="00F65D6F"/>
    <w:rsid w:val="00F6637D"/>
    <w:rsid w:val="00F669C7"/>
    <w:rsid w:val="00F77442"/>
    <w:rsid w:val="00F876E8"/>
    <w:rsid w:val="00F87A77"/>
    <w:rsid w:val="00F92CAB"/>
    <w:rsid w:val="00F9323A"/>
    <w:rsid w:val="00F938A2"/>
    <w:rsid w:val="00F96E0D"/>
    <w:rsid w:val="00FA21E2"/>
    <w:rsid w:val="00FA23B4"/>
    <w:rsid w:val="00FA392A"/>
    <w:rsid w:val="00FB7449"/>
    <w:rsid w:val="00FC0BBB"/>
    <w:rsid w:val="00FC433F"/>
    <w:rsid w:val="00FC4E73"/>
    <w:rsid w:val="00FC6D96"/>
    <w:rsid w:val="00FD3A74"/>
    <w:rsid w:val="00FD4F97"/>
    <w:rsid w:val="00FD6D5A"/>
    <w:rsid w:val="00FE5EE3"/>
    <w:rsid w:val="00FE6E77"/>
    <w:rsid w:val="00FE7AB7"/>
    <w:rsid w:val="00FF29BF"/>
    <w:rsid w:val="00FF31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1F397AB"/>
  <w15:docId w15:val="{E3736CC3-2863-4322-8D9D-CDC0221C3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039"/>
    <w:pPr>
      <w:spacing w:after="120"/>
    </w:pPr>
    <w:rPr>
      <w:rFonts w:ascii="Arial" w:eastAsia="Times" w:hAnsi="Arial"/>
      <w:sz w:val="24"/>
    </w:rPr>
  </w:style>
  <w:style w:type="paragraph" w:styleId="Heading1">
    <w:name w:val="heading 1"/>
    <w:basedOn w:val="Normal"/>
    <w:next w:val="Normal"/>
    <w:link w:val="Heading1Char"/>
    <w:qFormat/>
    <w:rsid w:val="00E012ED"/>
    <w:pPr>
      <w:keepNext/>
      <w:spacing w:line="480" w:lineRule="auto"/>
      <w:outlineLvl w:val="0"/>
    </w:pPr>
    <w:rPr>
      <w:b/>
      <w:color w:val="9E0000"/>
      <w:sz w:val="32"/>
    </w:rPr>
  </w:style>
  <w:style w:type="paragraph" w:styleId="Heading2">
    <w:name w:val="heading 2"/>
    <w:basedOn w:val="Normal"/>
    <w:next w:val="Normal"/>
    <w:qFormat/>
    <w:rsid w:val="00E012ED"/>
    <w:pPr>
      <w:keepNext/>
      <w:spacing w:before="240" w:after="60" w:line="480" w:lineRule="auto"/>
      <w:outlineLvl w:val="1"/>
    </w:pPr>
    <w:rPr>
      <w:b/>
      <w:color w:val="5F5F5F"/>
      <w:sz w:val="28"/>
    </w:rPr>
  </w:style>
  <w:style w:type="paragraph" w:styleId="Heading3">
    <w:name w:val="heading 3"/>
    <w:basedOn w:val="Normal"/>
    <w:next w:val="Normal"/>
    <w:qFormat/>
    <w:rsid w:val="003A5039"/>
    <w:pPr>
      <w:keepNext/>
      <w:spacing w:before="240" w:after="60" w:line="480" w:lineRule="auto"/>
      <w:outlineLvl w:val="2"/>
    </w:pPr>
    <w:rPr>
      <w:b/>
      <w:sz w:val="26"/>
    </w:rPr>
  </w:style>
  <w:style w:type="paragraph" w:styleId="Heading4">
    <w:name w:val="heading 4"/>
    <w:basedOn w:val="Normal"/>
    <w:next w:val="Normal"/>
    <w:qFormat/>
    <w:rsid w:val="003A5039"/>
    <w:pPr>
      <w:keepNext/>
      <w:spacing w:line="480" w:lineRule="auto"/>
      <w:outlineLvl w:val="3"/>
    </w:pPr>
    <w:rPr>
      <w:rFonts w:eastAsia="Times New Roman"/>
      <w:b/>
    </w:rPr>
  </w:style>
  <w:style w:type="paragraph" w:styleId="Heading5">
    <w:name w:val="heading 5"/>
    <w:basedOn w:val="Normal"/>
    <w:next w:val="Normal"/>
    <w:qFormat/>
    <w:rsid w:val="003A5039"/>
    <w:pPr>
      <w:spacing w:before="240" w:after="60" w:line="480" w:lineRule="auto"/>
      <w:outlineLvl w:val="4"/>
    </w:pPr>
    <w:rPr>
      <w:i/>
    </w:rPr>
  </w:style>
  <w:style w:type="paragraph" w:styleId="Heading6">
    <w:name w:val="heading 6"/>
    <w:basedOn w:val="Normal"/>
    <w:next w:val="Normal"/>
    <w:qFormat/>
    <w:rsid w:val="003A5039"/>
    <w:pPr>
      <w:keepNext/>
      <w:spacing w:line="480" w:lineRule="auto"/>
      <w:outlineLvl w:val="5"/>
    </w:pPr>
    <w:rPr>
      <w:rFonts w:eastAsia="Times New Roman"/>
      <w:b/>
      <w:sz w:val="22"/>
    </w:rPr>
  </w:style>
  <w:style w:type="paragraph" w:styleId="Heading7">
    <w:name w:val="heading 7"/>
    <w:aliases w:val="subsect 5 title"/>
    <w:basedOn w:val="Normal"/>
    <w:next w:val="Normal"/>
    <w:qFormat/>
    <w:rsid w:val="003A5039"/>
    <w:pPr>
      <w:keepNext/>
      <w:ind w:right="-900"/>
      <w:jc w:val="both"/>
      <w:outlineLvl w:val="6"/>
    </w:pPr>
    <w:rPr>
      <w:b/>
      <w:sz w:val="20"/>
    </w:rPr>
  </w:style>
  <w:style w:type="paragraph" w:styleId="Heading8">
    <w:name w:val="heading 8"/>
    <w:basedOn w:val="Normal"/>
    <w:next w:val="Normal"/>
    <w:qFormat/>
    <w:rsid w:val="003A5039"/>
    <w:pPr>
      <w:keepNext/>
      <w:spacing w:line="480" w:lineRule="auto"/>
      <w:ind w:left="6" w:right="-900" w:hanging="6"/>
      <w:jc w:val="both"/>
      <w:outlineLvl w:val="7"/>
    </w:pPr>
    <w:rPr>
      <w:b/>
      <w:sz w:val="20"/>
      <w:lang w:val="en-GB"/>
    </w:rPr>
  </w:style>
  <w:style w:type="paragraph" w:styleId="Heading9">
    <w:name w:val="heading 9"/>
    <w:basedOn w:val="Normal"/>
    <w:next w:val="Normal"/>
    <w:autoRedefine/>
    <w:qFormat/>
    <w:rsid w:val="003A5039"/>
    <w:pPr>
      <w:keepNext/>
      <w:outlineLvl w:val="8"/>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semiHidden/>
    <w:rsid w:val="003A5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next w:val="Normal"/>
    <w:rsid w:val="003A5039"/>
    <w:rPr>
      <w:sz w:val="20"/>
    </w:rPr>
  </w:style>
  <w:style w:type="paragraph" w:customStyle="1" w:styleId="Comment">
    <w:name w:val="Comment"/>
    <w:basedOn w:val="Normal"/>
    <w:next w:val="Normal"/>
    <w:rsid w:val="00957C79"/>
    <w:pPr>
      <w:shd w:val="clear" w:color="auto" w:fill="FFFF00"/>
      <w:spacing w:before="120"/>
    </w:pPr>
    <w:rPr>
      <w:sz w:val="20"/>
    </w:rPr>
  </w:style>
  <w:style w:type="paragraph" w:customStyle="1" w:styleId="Blockquote">
    <w:name w:val="Blockquote"/>
    <w:basedOn w:val="Normal"/>
    <w:next w:val="Normal"/>
    <w:rsid w:val="00CC4FAD"/>
    <w:pPr>
      <w:pBdr>
        <w:top w:val="single" w:sz="2" w:space="1" w:color="C0C0C0"/>
        <w:left w:val="single" w:sz="2" w:space="4" w:color="C0C0C0"/>
        <w:bottom w:val="single" w:sz="2" w:space="1" w:color="C0C0C0"/>
        <w:right w:val="single" w:sz="2" w:space="4" w:color="C0C0C0"/>
      </w:pBdr>
      <w:shd w:val="clear" w:color="auto" w:fill="FFFFDD"/>
      <w:spacing w:before="120"/>
      <w:ind w:left="720"/>
    </w:pPr>
    <w:rPr>
      <w:rFonts w:ascii="Times New Roman" w:hAnsi="Times New Roman"/>
      <w:sz w:val="22"/>
    </w:rPr>
  </w:style>
  <w:style w:type="paragraph" w:customStyle="1" w:styleId="Preformatted">
    <w:name w:val="Preformatted"/>
    <w:basedOn w:val="Normal"/>
    <w:next w:val="Normal"/>
    <w:rsid w:val="00511822"/>
    <w:pPr>
      <w:pBdr>
        <w:top w:val="single" w:sz="2" w:space="1" w:color="auto"/>
        <w:left w:val="single" w:sz="2" w:space="4" w:color="auto"/>
        <w:bottom w:val="single" w:sz="2" w:space="1" w:color="auto"/>
        <w:right w:val="single" w:sz="2" w:space="4" w:color="auto"/>
      </w:pBdr>
      <w:shd w:val="clear" w:color="auto" w:fill="F3F3F3"/>
      <w:spacing w:after="0"/>
    </w:pPr>
    <w:rPr>
      <w:rFonts w:ascii="Courier New" w:hAnsi="Courier New"/>
      <w:color w:val="333333"/>
      <w:sz w:val="20"/>
    </w:rPr>
  </w:style>
  <w:style w:type="paragraph" w:customStyle="1" w:styleId="AbstractHeader">
    <w:name w:val="Abstract Header"/>
    <w:basedOn w:val="Heading2"/>
    <w:next w:val="Normal"/>
    <w:rsid w:val="0098430A"/>
    <w:rPr>
      <w:rFonts w:ascii="Times New Roman" w:hAnsi="Times New Roman"/>
    </w:rPr>
  </w:style>
  <w:style w:type="paragraph" w:customStyle="1" w:styleId="Glossarytableheader">
    <w:name w:val="Glossary table header"/>
    <w:basedOn w:val="Normal"/>
    <w:next w:val="Normal"/>
    <w:rsid w:val="004F2231"/>
    <w:rPr>
      <w:b/>
      <w:color w:val="FF6600"/>
      <w:sz w:val="22"/>
    </w:rPr>
  </w:style>
  <w:style w:type="paragraph" w:customStyle="1" w:styleId="Boxnumberandcaption">
    <w:name w:val="Box number and caption"/>
    <w:basedOn w:val="Heading3"/>
    <w:next w:val="Normal"/>
    <w:rsid w:val="00644FF3"/>
    <w:pPr>
      <w:shd w:val="clear" w:color="auto" w:fill="E6E6E6"/>
      <w:spacing w:before="120"/>
    </w:pPr>
    <w:rPr>
      <w:color w:val="666666"/>
      <w:sz w:val="24"/>
      <w:szCs w:val="28"/>
    </w:rPr>
  </w:style>
  <w:style w:type="paragraph" w:customStyle="1" w:styleId="Figurenumberandcaption">
    <w:name w:val="Figure number and caption"/>
    <w:basedOn w:val="Normal"/>
    <w:next w:val="Normal"/>
    <w:rsid w:val="00CB0693"/>
    <w:pPr>
      <w:spacing w:before="120"/>
    </w:pPr>
    <w:rPr>
      <w:color w:val="000080"/>
    </w:rPr>
  </w:style>
  <w:style w:type="paragraph" w:customStyle="1" w:styleId="Tablenumberandcaption">
    <w:name w:val="Table number and caption"/>
    <w:basedOn w:val="Normal"/>
    <w:next w:val="Normal"/>
    <w:rsid w:val="00A2415A"/>
    <w:pPr>
      <w:spacing w:before="120"/>
    </w:pPr>
    <w:rPr>
      <w:b/>
      <w:color w:val="006600"/>
      <w:sz w:val="22"/>
    </w:rPr>
  </w:style>
  <w:style w:type="paragraph" w:customStyle="1" w:styleId="Tableheader">
    <w:name w:val="Table header"/>
    <w:basedOn w:val="Normal"/>
    <w:next w:val="Normal"/>
    <w:rsid w:val="00697EB0"/>
    <w:pPr>
      <w:spacing w:after="0"/>
    </w:pPr>
    <w:rPr>
      <w:b/>
      <w:sz w:val="20"/>
    </w:rPr>
  </w:style>
  <w:style w:type="paragraph" w:customStyle="1" w:styleId="Tablebody">
    <w:name w:val="Table body"/>
    <w:basedOn w:val="Normal"/>
    <w:next w:val="Normal"/>
    <w:rsid w:val="00697EB0"/>
    <w:pPr>
      <w:spacing w:after="0"/>
    </w:pPr>
    <w:rPr>
      <w:sz w:val="20"/>
    </w:rPr>
  </w:style>
  <w:style w:type="paragraph" w:customStyle="1" w:styleId="Tablefooter">
    <w:name w:val="Table footer"/>
    <w:basedOn w:val="Normal"/>
    <w:next w:val="Normal"/>
    <w:rsid w:val="00697EB0"/>
    <w:pPr>
      <w:spacing w:after="0"/>
    </w:pPr>
    <w:rPr>
      <w:sz w:val="18"/>
    </w:rPr>
  </w:style>
  <w:style w:type="paragraph" w:customStyle="1" w:styleId="Alternateheading">
    <w:name w:val="Alternate heading"/>
    <w:basedOn w:val="Normal"/>
    <w:next w:val="Normal"/>
    <w:rsid w:val="008C7781"/>
    <w:rPr>
      <w:b/>
      <w:color w:val="800080"/>
      <w:sz w:val="22"/>
    </w:rPr>
  </w:style>
  <w:style w:type="paragraph" w:styleId="Footer">
    <w:name w:val="footer"/>
    <w:basedOn w:val="Normal"/>
    <w:semiHidden/>
    <w:rsid w:val="003A5039"/>
    <w:pPr>
      <w:tabs>
        <w:tab w:val="center" w:pos="4320"/>
        <w:tab w:val="right" w:pos="8640"/>
      </w:tabs>
      <w:spacing w:after="0"/>
    </w:pPr>
    <w:rPr>
      <w:rFonts w:ascii="Times New Roman" w:eastAsia="SimSun" w:hAnsi="Times New Roman"/>
      <w:szCs w:val="24"/>
      <w:lang w:eastAsia="zh-CN"/>
    </w:rPr>
  </w:style>
  <w:style w:type="character" w:customStyle="1" w:styleId="Glossaryref">
    <w:name w:val="Glossary ref"/>
    <w:rsid w:val="00BF762F"/>
    <w:rPr>
      <w:color w:val="FF6600"/>
    </w:rPr>
  </w:style>
  <w:style w:type="paragraph" w:customStyle="1" w:styleId="Boxsubhead">
    <w:name w:val="Box subhead"/>
    <w:basedOn w:val="Heading4"/>
    <w:next w:val="Normal"/>
    <w:rsid w:val="00644FF3"/>
    <w:rPr>
      <w:color w:val="808080"/>
      <w:sz w:val="22"/>
    </w:rPr>
  </w:style>
  <w:style w:type="paragraph" w:customStyle="1" w:styleId="FiguresTablesBoxesSectionHeading">
    <w:name w:val="Figures Tables Boxes Section Heading"/>
    <w:basedOn w:val="Heading2"/>
    <w:next w:val="Comment"/>
    <w:rsid w:val="00A82CCA"/>
    <w:rPr>
      <w:rFonts w:ascii="Verdana" w:hAnsi="Verdana"/>
      <w:color w:val="A50021"/>
      <w:sz w:val="24"/>
    </w:rPr>
  </w:style>
  <w:style w:type="paragraph" w:customStyle="1" w:styleId="Answer">
    <w:name w:val="Answer"/>
    <w:basedOn w:val="Normal"/>
    <w:next w:val="Normal"/>
    <w:rsid w:val="00BA1A6F"/>
    <w:pPr>
      <w:pBdr>
        <w:top w:val="single" w:sz="4" w:space="1" w:color="FFFFFF"/>
        <w:left w:val="single" w:sz="4" w:space="4" w:color="FFFFFF"/>
        <w:bottom w:val="single" w:sz="4" w:space="1" w:color="FFFFFF"/>
        <w:right w:val="single" w:sz="4" w:space="4" w:color="FFFFFF"/>
      </w:pBdr>
      <w:shd w:val="clear" w:color="auto" w:fill="ECFEDA"/>
    </w:pPr>
    <w:rPr>
      <w:rFonts w:ascii="Times New Roman" w:hAnsi="Times New Roman"/>
      <w:color w:val="800000"/>
    </w:rPr>
  </w:style>
  <w:style w:type="paragraph" w:customStyle="1" w:styleId="Question">
    <w:name w:val="Question"/>
    <w:basedOn w:val="Normal"/>
    <w:next w:val="Normal"/>
    <w:rsid w:val="00BA1A6F"/>
    <w:pPr>
      <w:pBdr>
        <w:top w:val="single" w:sz="4" w:space="1" w:color="FFFFFF"/>
        <w:left w:val="single" w:sz="4" w:space="4" w:color="FFFFFF"/>
        <w:bottom w:val="single" w:sz="4" w:space="1" w:color="FFFFFF"/>
        <w:right w:val="single" w:sz="4" w:space="4" w:color="FFFFFF"/>
      </w:pBdr>
      <w:shd w:val="clear" w:color="auto" w:fill="E9E6EE"/>
    </w:pPr>
    <w:rPr>
      <w:rFonts w:ascii="Verdana" w:hAnsi="Verdana"/>
      <w:color w:val="333399"/>
    </w:rPr>
  </w:style>
  <w:style w:type="character" w:customStyle="1" w:styleId="nc-highlight">
    <w:name w:val="nc-highlight"/>
    <w:rsid w:val="003456ED"/>
    <w:rPr>
      <w:bdr w:val="none" w:sz="0" w:space="0" w:color="auto"/>
      <w:shd w:val="clear" w:color="auto" w:fill="FFFF93"/>
    </w:rPr>
  </w:style>
  <w:style w:type="character" w:customStyle="1" w:styleId="nc-pageobject">
    <w:name w:val="nc-pageobject"/>
    <w:rsid w:val="00F65D6F"/>
    <w:rPr>
      <w:color w:val="993366"/>
      <w:bdr w:val="none" w:sz="0" w:space="0" w:color="auto"/>
      <w:shd w:val="clear" w:color="auto" w:fill="FFF0E1"/>
    </w:rPr>
  </w:style>
  <w:style w:type="character" w:customStyle="1" w:styleId="LabelorNumber">
    <w:name w:val="Label or Number"/>
    <w:rsid w:val="00D43687"/>
    <w:rPr>
      <w:rFonts w:ascii="Arial" w:hAnsi="Arial"/>
      <w:color w:val="auto"/>
      <w:sz w:val="22"/>
      <w:bdr w:val="none" w:sz="0" w:space="0" w:color="auto"/>
      <w:shd w:val="clear" w:color="auto" w:fill="33CCCC"/>
    </w:rPr>
  </w:style>
  <w:style w:type="paragraph" w:styleId="DocumentMap">
    <w:name w:val="Document Map"/>
    <w:basedOn w:val="Normal"/>
    <w:semiHidden/>
    <w:rsid w:val="00A23437"/>
    <w:pPr>
      <w:shd w:val="clear" w:color="auto" w:fill="000080"/>
    </w:pPr>
    <w:rPr>
      <w:rFonts w:ascii="Tahoma" w:hAnsi="Tahoma" w:cs="Tahoma"/>
      <w:sz w:val="20"/>
    </w:rPr>
  </w:style>
  <w:style w:type="paragraph" w:customStyle="1" w:styleId="Processinginstruction">
    <w:name w:val="Processing instruction"/>
    <w:basedOn w:val="Normal"/>
    <w:next w:val="Normal"/>
    <w:rsid w:val="00237B2B"/>
    <w:pPr>
      <w:shd w:val="clear" w:color="auto" w:fill="D6FF61"/>
    </w:pPr>
    <w:rPr>
      <w:rFonts w:ascii="Courier New" w:hAnsi="Courier New"/>
      <w:color w:val="000080"/>
    </w:rPr>
  </w:style>
  <w:style w:type="paragraph" w:customStyle="1" w:styleId="Equation">
    <w:name w:val="Equation"/>
    <w:basedOn w:val="Normal"/>
    <w:rsid w:val="007D5FC1"/>
    <w:pPr>
      <w:jc w:val="center"/>
    </w:pPr>
    <w:rPr>
      <w:rFonts w:eastAsia="Times New Roman"/>
      <w:color w:val="333398"/>
    </w:rPr>
  </w:style>
  <w:style w:type="paragraph" w:customStyle="1" w:styleId="Figuregraphic">
    <w:name w:val="Figure graphic"/>
    <w:basedOn w:val="Normal"/>
    <w:rsid w:val="007D5FC1"/>
    <w:pPr>
      <w:autoSpaceDE w:val="0"/>
      <w:autoSpaceDN w:val="0"/>
      <w:adjustRightInd w:val="0"/>
    </w:pPr>
    <w:rPr>
      <w:rFonts w:eastAsia="Times New Roman"/>
      <w:szCs w:val="24"/>
    </w:rPr>
  </w:style>
  <w:style w:type="paragraph" w:customStyle="1" w:styleId="Keywords">
    <w:name w:val="Keywords"/>
    <w:basedOn w:val="Normal"/>
    <w:rsid w:val="007D5FC1"/>
    <w:rPr>
      <w:rFonts w:eastAsia="Times New Roman"/>
      <w:color w:val="000080"/>
    </w:rPr>
  </w:style>
  <w:style w:type="character" w:customStyle="1" w:styleId="Processinginstructionchar">
    <w:name w:val="Processing instruction char"/>
    <w:qFormat/>
    <w:rsid w:val="007D5FC1"/>
    <w:rPr>
      <w:rFonts w:ascii="Courier New" w:hAnsi="Courier New"/>
      <w:sz w:val="18"/>
      <w:bdr w:val="none" w:sz="0" w:space="0" w:color="auto"/>
      <w:shd w:val="clear" w:color="auto" w:fill="D99594"/>
    </w:rPr>
  </w:style>
  <w:style w:type="paragraph" w:customStyle="1" w:styleId="Structuredabstractheading">
    <w:name w:val="Structured abstract heading"/>
    <w:basedOn w:val="Normal"/>
    <w:next w:val="Normal"/>
    <w:rsid w:val="007D5FC1"/>
    <w:pPr>
      <w:keepNext/>
      <w:spacing w:before="240" w:after="60" w:line="480" w:lineRule="auto"/>
      <w:outlineLvl w:val="2"/>
    </w:pPr>
    <w:rPr>
      <w:rFonts w:eastAsia="Times New Roman"/>
      <w:b/>
      <w:kern w:val="28"/>
      <w:sz w:val="26"/>
      <w:szCs w:val="24"/>
    </w:rPr>
  </w:style>
  <w:style w:type="paragraph" w:styleId="Subtitle">
    <w:name w:val="Subtitle"/>
    <w:basedOn w:val="Normal"/>
    <w:link w:val="SubtitleChar"/>
    <w:qFormat/>
    <w:rsid w:val="007D5FC1"/>
    <w:pPr>
      <w:keepNext/>
      <w:spacing w:before="240" w:after="60" w:line="480" w:lineRule="auto"/>
      <w:jc w:val="center"/>
      <w:outlineLvl w:val="1"/>
    </w:pPr>
    <w:rPr>
      <w:rFonts w:eastAsia="Times New Roman" w:cs="Arial"/>
      <w:b/>
      <w:kern w:val="28"/>
      <w:szCs w:val="24"/>
      <w:u w:val="single"/>
    </w:rPr>
  </w:style>
  <w:style w:type="character" w:customStyle="1" w:styleId="SubtitleChar">
    <w:name w:val="Subtitle Char"/>
    <w:link w:val="Subtitle"/>
    <w:rsid w:val="007D5FC1"/>
    <w:rPr>
      <w:rFonts w:ascii="Arial" w:hAnsi="Arial" w:cs="Arial"/>
      <w:b/>
      <w:kern w:val="28"/>
      <w:sz w:val="24"/>
      <w:szCs w:val="24"/>
      <w:u w:val="single"/>
    </w:rPr>
  </w:style>
  <w:style w:type="paragraph" w:customStyle="1" w:styleId="Boxcontent">
    <w:name w:val="Boxcontent"/>
    <w:basedOn w:val="Normal"/>
    <w:rsid w:val="00AB15DA"/>
    <w:rPr>
      <w:rFonts w:eastAsia="Times New Roman"/>
    </w:rPr>
  </w:style>
  <w:style w:type="paragraph" w:styleId="ListParagraph">
    <w:name w:val="List Paragraph"/>
    <w:basedOn w:val="Normal"/>
    <w:uiPriority w:val="34"/>
    <w:qFormat/>
    <w:rsid w:val="00F557BE"/>
    <w:pPr>
      <w:spacing w:after="0"/>
      <w:ind w:left="720"/>
      <w:contextualSpacing/>
    </w:pPr>
    <w:rPr>
      <w:rFonts w:ascii="Times New Roman" w:eastAsia="Times New Roman" w:hAnsi="Times New Roman"/>
      <w:szCs w:val="24"/>
    </w:rPr>
  </w:style>
  <w:style w:type="character" w:customStyle="1" w:styleId="Heading1Char">
    <w:name w:val="Heading 1 Char"/>
    <w:basedOn w:val="DefaultParagraphFont"/>
    <w:link w:val="Heading1"/>
    <w:rsid w:val="00F557BE"/>
    <w:rPr>
      <w:rFonts w:ascii="Arial" w:eastAsia="Times" w:hAnsi="Arial"/>
      <w:b/>
      <w:color w:val="9E0000"/>
      <w:sz w:val="32"/>
    </w:rPr>
  </w:style>
  <w:style w:type="paragraph" w:styleId="Header">
    <w:name w:val="header"/>
    <w:basedOn w:val="Normal"/>
    <w:link w:val="HeaderChar"/>
    <w:rsid w:val="00272879"/>
    <w:pPr>
      <w:tabs>
        <w:tab w:val="center" w:pos="4680"/>
        <w:tab w:val="right" w:pos="9360"/>
      </w:tabs>
      <w:spacing w:after="0"/>
    </w:pPr>
  </w:style>
  <w:style w:type="character" w:customStyle="1" w:styleId="HeaderChar">
    <w:name w:val="Header Char"/>
    <w:basedOn w:val="DefaultParagraphFont"/>
    <w:link w:val="Header"/>
    <w:rsid w:val="00272879"/>
    <w:rPr>
      <w:rFonts w:ascii="Arial" w:eastAsia="Times" w:hAnsi="Arial"/>
      <w:sz w:val="24"/>
    </w:rPr>
  </w:style>
  <w:style w:type="paragraph" w:styleId="NormalWeb">
    <w:name w:val="Normal (Web)"/>
    <w:basedOn w:val="Normal"/>
    <w:uiPriority w:val="99"/>
    <w:unhideWhenUsed/>
    <w:rsid w:val="00FC6D96"/>
    <w:pPr>
      <w:spacing w:before="100" w:beforeAutospacing="1" w:after="100" w:afterAutospacing="1"/>
    </w:pPr>
    <w:rPr>
      <w:rFonts w:ascii="Times New Roman" w:eastAsia="Times New Roman" w:hAnsi="Times New Roman"/>
      <w:szCs w:val="24"/>
    </w:rPr>
  </w:style>
  <w:style w:type="character" w:styleId="Hyperlink">
    <w:name w:val="Hyperlink"/>
    <w:basedOn w:val="DefaultParagraphFont"/>
    <w:uiPriority w:val="99"/>
    <w:unhideWhenUsed/>
    <w:rsid w:val="00FC6D96"/>
    <w:rPr>
      <w:color w:val="0000FF"/>
      <w:u w:val="single"/>
    </w:rPr>
  </w:style>
  <w:style w:type="paragraph" w:customStyle="1" w:styleId="rteindent1">
    <w:name w:val="rteindent1"/>
    <w:basedOn w:val="Normal"/>
    <w:rsid w:val="00FC6D96"/>
    <w:pPr>
      <w:spacing w:before="100" w:beforeAutospacing="1" w:after="100" w:afterAutospacing="1"/>
    </w:pPr>
    <w:rPr>
      <w:rFonts w:ascii="Times New Roman" w:eastAsia="Times New Roman" w:hAnsi="Times New Roman"/>
      <w:szCs w:val="24"/>
    </w:rPr>
  </w:style>
  <w:style w:type="character" w:styleId="Emphasis">
    <w:name w:val="Emphasis"/>
    <w:basedOn w:val="DefaultParagraphFont"/>
    <w:uiPriority w:val="20"/>
    <w:qFormat/>
    <w:rsid w:val="00FC6D96"/>
    <w:rPr>
      <w:i/>
      <w:iCs/>
    </w:rPr>
  </w:style>
  <w:style w:type="character" w:customStyle="1" w:styleId="st">
    <w:name w:val="st"/>
    <w:basedOn w:val="DefaultParagraphFont"/>
    <w:rsid w:val="00FC6D96"/>
  </w:style>
  <w:style w:type="paragraph" w:styleId="BalloonText">
    <w:name w:val="Balloon Text"/>
    <w:basedOn w:val="Normal"/>
    <w:link w:val="BalloonTextChar"/>
    <w:rsid w:val="00E913B4"/>
    <w:pPr>
      <w:spacing w:after="0"/>
    </w:pPr>
    <w:rPr>
      <w:rFonts w:ascii="Tahoma" w:hAnsi="Tahoma" w:cs="Tahoma"/>
      <w:sz w:val="16"/>
      <w:szCs w:val="16"/>
    </w:rPr>
  </w:style>
  <w:style w:type="character" w:customStyle="1" w:styleId="BalloonTextChar">
    <w:name w:val="Balloon Text Char"/>
    <w:basedOn w:val="DefaultParagraphFont"/>
    <w:link w:val="BalloonText"/>
    <w:rsid w:val="00E913B4"/>
    <w:rPr>
      <w:rFonts w:ascii="Tahoma" w:eastAsia="Times" w:hAnsi="Tahoma" w:cs="Tahoma"/>
      <w:sz w:val="16"/>
      <w:szCs w:val="16"/>
    </w:rPr>
  </w:style>
  <w:style w:type="paragraph" w:styleId="Caption">
    <w:name w:val="caption"/>
    <w:basedOn w:val="Normal"/>
    <w:next w:val="Normal"/>
    <w:unhideWhenUsed/>
    <w:qFormat/>
    <w:rsid w:val="00DE3B1F"/>
    <w:pPr>
      <w:spacing w:after="200"/>
    </w:pPr>
    <w:rPr>
      <w:b/>
      <w:bCs/>
      <w:color w:val="4F81BD" w:themeColor="accent1"/>
      <w:sz w:val="18"/>
      <w:szCs w:val="18"/>
    </w:rPr>
  </w:style>
  <w:style w:type="character" w:styleId="Strong">
    <w:name w:val="Strong"/>
    <w:basedOn w:val="DefaultParagraphFont"/>
    <w:uiPriority w:val="22"/>
    <w:qFormat/>
    <w:rsid w:val="00BD58A5"/>
    <w:rPr>
      <w:b/>
      <w:bCs/>
    </w:rPr>
  </w:style>
  <w:style w:type="character" w:customStyle="1" w:styleId="element-citation">
    <w:name w:val="element-citation"/>
    <w:basedOn w:val="DefaultParagraphFont"/>
    <w:rsid w:val="00BD58A5"/>
  </w:style>
  <w:style w:type="character" w:customStyle="1" w:styleId="feature">
    <w:name w:val="feature"/>
    <w:basedOn w:val="DefaultParagraphFont"/>
    <w:rsid w:val="00726A47"/>
  </w:style>
  <w:style w:type="character" w:styleId="FollowedHyperlink">
    <w:name w:val="FollowedHyperlink"/>
    <w:basedOn w:val="DefaultParagraphFont"/>
    <w:rsid w:val="00BC34AB"/>
    <w:rPr>
      <w:color w:val="800080" w:themeColor="followedHyperlink"/>
      <w:u w:val="single"/>
    </w:rPr>
  </w:style>
  <w:style w:type="character" w:customStyle="1" w:styleId="term-highlight">
    <w:name w:val="term-highlight"/>
    <w:basedOn w:val="DefaultParagraphFont"/>
    <w:rsid w:val="00D66BA7"/>
  </w:style>
  <w:style w:type="character" w:customStyle="1" w:styleId="ref-journal">
    <w:name w:val="ref-journal"/>
    <w:basedOn w:val="DefaultParagraphFont"/>
    <w:rsid w:val="00D66BA7"/>
  </w:style>
  <w:style w:type="character" w:customStyle="1" w:styleId="ref-vol">
    <w:name w:val="ref-vol"/>
    <w:basedOn w:val="DefaultParagraphFont"/>
    <w:rsid w:val="00D66BA7"/>
  </w:style>
  <w:style w:type="character" w:styleId="CommentReference">
    <w:name w:val="annotation reference"/>
    <w:basedOn w:val="DefaultParagraphFont"/>
    <w:rsid w:val="005C4DDC"/>
    <w:rPr>
      <w:sz w:val="16"/>
      <w:szCs w:val="16"/>
    </w:rPr>
  </w:style>
  <w:style w:type="paragraph" w:styleId="CommentText">
    <w:name w:val="annotation text"/>
    <w:basedOn w:val="Normal"/>
    <w:link w:val="CommentTextChar"/>
    <w:rsid w:val="005C4DDC"/>
    <w:rPr>
      <w:sz w:val="20"/>
    </w:rPr>
  </w:style>
  <w:style w:type="character" w:customStyle="1" w:styleId="CommentTextChar">
    <w:name w:val="Comment Text Char"/>
    <w:basedOn w:val="DefaultParagraphFont"/>
    <w:link w:val="CommentText"/>
    <w:rsid w:val="005C4DDC"/>
    <w:rPr>
      <w:rFonts w:ascii="Arial" w:eastAsia="Times" w:hAnsi="Arial"/>
    </w:rPr>
  </w:style>
  <w:style w:type="paragraph" w:styleId="CommentSubject">
    <w:name w:val="annotation subject"/>
    <w:basedOn w:val="CommentText"/>
    <w:next w:val="CommentText"/>
    <w:link w:val="CommentSubjectChar"/>
    <w:rsid w:val="005C4DDC"/>
    <w:rPr>
      <w:b/>
      <w:bCs/>
    </w:rPr>
  </w:style>
  <w:style w:type="character" w:customStyle="1" w:styleId="CommentSubjectChar">
    <w:name w:val="Comment Subject Char"/>
    <w:basedOn w:val="CommentTextChar"/>
    <w:link w:val="CommentSubject"/>
    <w:rsid w:val="005C4DDC"/>
    <w:rPr>
      <w:rFonts w:ascii="Arial" w:eastAsia="Times" w:hAnsi="Arial"/>
      <w:b/>
      <w:bCs/>
    </w:rPr>
  </w:style>
  <w:style w:type="paragraph" w:styleId="HTMLPreformatted">
    <w:name w:val="HTML Preformatted"/>
    <w:basedOn w:val="Normal"/>
    <w:link w:val="HTMLPreformattedChar"/>
    <w:uiPriority w:val="99"/>
    <w:semiHidden/>
    <w:unhideWhenUsed/>
    <w:rsid w:val="00731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semiHidden/>
    <w:rsid w:val="007310EF"/>
    <w:rPr>
      <w:rFonts w:ascii="Courier New" w:hAnsi="Courier New" w:cs="Courier New"/>
    </w:rPr>
  </w:style>
  <w:style w:type="character" w:customStyle="1" w:styleId="highlight">
    <w:name w:val="highlight"/>
    <w:basedOn w:val="DefaultParagraphFont"/>
    <w:rsid w:val="00DA3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66314">
      <w:bodyDiv w:val="1"/>
      <w:marLeft w:val="0"/>
      <w:marRight w:val="0"/>
      <w:marTop w:val="0"/>
      <w:marBottom w:val="0"/>
      <w:divBdr>
        <w:top w:val="none" w:sz="0" w:space="0" w:color="auto"/>
        <w:left w:val="none" w:sz="0" w:space="0" w:color="auto"/>
        <w:bottom w:val="none" w:sz="0" w:space="0" w:color="auto"/>
        <w:right w:val="none" w:sz="0" w:space="0" w:color="auto"/>
      </w:divBdr>
    </w:div>
    <w:div w:id="510141064">
      <w:bodyDiv w:val="1"/>
      <w:marLeft w:val="0"/>
      <w:marRight w:val="0"/>
      <w:marTop w:val="0"/>
      <w:marBottom w:val="0"/>
      <w:divBdr>
        <w:top w:val="none" w:sz="0" w:space="0" w:color="auto"/>
        <w:left w:val="none" w:sz="0" w:space="0" w:color="auto"/>
        <w:bottom w:val="none" w:sz="0" w:space="0" w:color="auto"/>
        <w:right w:val="none" w:sz="0" w:space="0" w:color="auto"/>
      </w:divBdr>
    </w:div>
    <w:div w:id="652150082">
      <w:bodyDiv w:val="1"/>
      <w:marLeft w:val="0"/>
      <w:marRight w:val="0"/>
      <w:marTop w:val="0"/>
      <w:marBottom w:val="0"/>
      <w:divBdr>
        <w:top w:val="none" w:sz="0" w:space="0" w:color="auto"/>
        <w:left w:val="none" w:sz="0" w:space="0" w:color="auto"/>
        <w:bottom w:val="none" w:sz="0" w:space="0" w:color="auto"/>
        <w:right w:val="none" w:sz="0" w:space="0" w:color="auto"/>
      </w:divBdr>
    </w:div>
    <w:div w:id="881551714">
      <w:bodyDiv w:val="1"/>
      <w:marLeft w:val="0"/>
      <w:marRight w:val="0"/>
      <w:marTop w:val="0"/>
      <w:marBottom w:val="0"/>
      <w:divBdr>
        <w:top w:val="none" w:sz="0" w:space="0" w:color="auto"/>
        <w:left w:val="none" w:sz="0" w:space="0" w:color="auto"/>
        <w:bottom w:val="none" w:sz="0" w:space="0" w:color="auto"/>
        <w:right w:val="none" w:sz="0" w:space="0" w:color="auto"/>
      </w:divBdr>
    </w:div>
    <w:div w:id="1085804866">
      <w:bodyDiv w:val="1"/>
      <w:marLeft w:val="0"/>
      <w:marRight w:val="0"/>
      <w:marTop w:val="0"/>
      <w:marBottom w:val="0"/>
      <w:divBdr>
        <w:top w:val="none" w:sz="0" w:space="0" w:color="auto"/>
        <w:left w:val="none" w:sz="0" w:space="0" w:color="auto"/>
        <w:bottom w:val="none" w:sz="0" w:space="0" w:color="auto"/>
        <w:right w:val="none" w:sz="0" w:space="0" w:color="auto"/>
      </w:divBdr>
    </w:div>
    <w:div w:id="1200388637">
      <w:bodyDiv w:val="1"/>
      <w:marLeft w:val="0"/>
      <w:marRight w:val="0"/>
      <w:marTop w:val="0"/>
      <w:marBottom w:val="0"/>
      <w:divBdr>
        <w:top w:val="none" w:sz="0" w:space="0" w:color="auto"/>
        <w:left w:val="none" w:sz="0" w:space="0" w:color="auto"/>
        <w:bottom w:val="none" w:sz="0" w:space="0" w:color="auto"/>
        <w:right w:val="none" w:sz="0" w:space="0" w:color="auto"/>
      </w:divBdr>
    </w:div>
    <w:div w:id="1348874100">
      <w:bodyDiv w:val="1"/>
      <w:marLeft w:val="0"/>
      <w:marRight w:val="0"/>
      <w:marTop w:val="0"/>
      <w:marBottom w:val="0"/>
      <w:divBdr>
        <w:top w:val="none" w:sz="0" w:space="0" w:color="auto"/>
        <w:left w:val="none" w:sz="0" w:space="0" w:color="auto"/>
        <w:bottom w:val="none" w:sz="0" w:space="0" w:color="auto"/>
        <w:right w:val="none" w:sz="0" w:space="0" w:color="auto"/>
      </w:divBdr>
    </w:div>
    <w:div w:id="1546017175">
      <w:bodyDiv w:val="1"/>
      <w:marLeft w:val="0"/>
      <w:marRight w:val="0"/>
      <w:marTop w:val="0"/>
      <w:marBottom w:val="0"/>
      <w:divBdr>
        <w:top w:val="none" w:sz="0" w:space="0" w:color="auto"/>
        <w:left w:val="none" w:sz="0" w:space="0" w:color="auto"/>
        <w:bottom w:val="none" w:sz="0" w:space="0" w:color="auto"/>
        <w:right w:val="none" w:sz="0" w:space="0" w:color="auto"/>
      </w:divBdr>
    </w:div>
    <w:div w:id="1631209404">
      <w:bodyDiv w:val="1"/>
      <w:marLeft w:val="0"/>
      <w:marRight w:val="0"/>
      <w:marTop w:val="0"/>
      <w:marBottom w:val="0"/>
      <w:divBdr>
        <w:top w:val="none" w:sz="0" w:space="0" w:color="auto"/>
        <w:left w:val="none" w:sz="0" w:space="0" w:color="auto"/>
        <w:bottom w:val="none" w:sz="0" w:space="0" w:color="auto"/>
        <w:right w:val="none" w:sz="0" w:space="0" w:color="auto"/>
      </w:divBdr>
    </w:div>
    <w:div w:id="1766921396">
      <w:bodyDiv w:val="1"/>
      <w:marLeft w:val="0"/>
      <w:marRight w:val="0"/>
      <w:marTop w:val="0"/>
      <w:marBottom w:val="0"/>
      <w:divBdr>
        <w:top w:val="none" w:sz="0" w:space="0" w:color="auto"/>
        <w:left w:val="none" w:sz="0" w:space="0" w:color="auto"/>
        <w:bottom w:val="none" w:sz="0" w:space="0" w:color="auto"/>
        <w:right w:val="none" w:sz="0" w:space="0" w:color="auto"/>
      </w:divBdr>
    </w:div>
    <w:div w:id="1782333285">
      <w:bodyDiv w:val="1"/>
      <w:marLeft w:val="0"/>
      <w:marRight w:val="0"/>
      <w:marTop w:val="0"/>
      <w:marBottom w:val="0"/>
      <w:divBdr>
        <w:top w:val="none" w:sz="0" w:space="0" w:color="auto"/>
        <w:left w:val="none" w:sz="0" w:space="0" w:color="auto"/>
        <w:bottom w:val="none" w:sz="0" w:space="0" w:color="auto"/>
        <w:right w:val="none" w:sz="0" w:space="0" w:color="auto"/>
      </w:divBdr>
    </w:div>
    <w:div w:id="1878734195">
      <w:bodyDiv w:val="1"/>
      <w:marLeft w:val="0"/>
      <w:marRight w:val="0"/>
      <w:marTop w:val="0"/>
      <w:marBottom w:val="0"/>
      <w:divBdr>
        <w:top w:val="none" w:sz="0" w:space="0" w:color="auto"/>
        <w:left w:val="none" w:sz="0" w:space="0" w:color="auto"/>
        <w:bottom w:val="none" w:sz="0" w:space="0" w:color="auto"/>
        <w:right w:val="none" w:sz="0" w:space="0" w:color="auto"/>
      </w:divBdr>
    </w:div>
    <w:div w:id="2060129082">
      <w:bodyDiv w:val="1"/>
      <w:marLeft w:val="0"/>
      <w:marRight w:val="0"/>
      <w:marTop w:val="0"/>
      <w:marBottom w:val="0"/>
      <w:divBdr>
        <w:top w:val="none" w:sz="0" w:space="0" w:color="auto"/>
        <w:left w:val="none" w:sz="0" w:space="0" w:color="auto"/>
        <w:bottom w:val="none" w:sz="0" w:space="0" w:color="auto"/>
        <w:right w:val="none" w:sz="0" w:space="0" w:color="auto"/>
      </w:divBdr>
    </w:div>
    <w:div w:id="214453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dbj.nig.ac.jp/" TargetMode="External"/><Relationship Id="rId18" Type="http://schemas.openxmlformats.org/officeDocument/2006/relationships/hyperlink" Target="http://www.ncbi.nlm.nih.gov/RefSeq/" TargetMode="External"/><Relationship Id="rId26" Type="http://schemas.openxmlformats.org/officeDocument/2006/relationships/hyperlink" Target="http://www.ncbi.nlm.nih.gov/biosample" TargetMode="External"/><Relationship Id="rId39" Type="http://schemas.openxmlformats.org/officeDocument/2006/relationships/hyperlink" Target="http://www.ncbi.nlm.nih.gov/CCDS/CcdsBrowse.cgi" TargetMode="External"/><Relationship Id="rId3" Type="http://schemas.openxmlformats.org/officeDocument/2006/relationships/customXml" Target="../customXml/item3.xml"/><Relationship Id="rId21" Type="http://schemas.openxmlformats.org/officeDocument/2006/relationships/hyperlink" Target="http://www.ncbi.nlm.nih.gov/genbank/tsa" TargetMode="External"/><Relationship Id="rId34" Type="http://schemas.openxmlformats.org/officeDocument/2006/relationships/hyperlink" Target="http://www.ncbi.nlm.nih.gov/protein/" TargetMode="External"/><Relationship Id="rId42" Type="http://schemas.openxmlformats.org/officeDocument/2006/relationships/image" Target="media/image1.png"/><Relationship Id="rId47" Type="http://schemas.openxmlformats.org/officeDocument/2006/relationships/image" Target="media/image6.png"/><Relationship Id="rId50"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www.insdc.org/" TargetMode="External"/><Relationship Id="rId17" Type="http://schemas.openxmlformats.org/officeDocument/2006/relationships/hyperlink" Target="http://www.ncbi.nlm.nih.gov/RefSeq/" TargetMode="External"/><Relationship Id="rId25" Type="http://schemas.openxmlformats.org/officeDocument/2006/relationships/hyperlink" Target="http://www.ncbi.nlm.nih.gov/refseq/rsg" TargetMode="External"/><Relationship Id="rId33" Type="http://schemas.openxmlformats.org/officeDocument/2006/relationships/hyperlink" Target="http://www.ncbi.nlm.nih.gov/nucleotide/" TargetMode="External"/><Relationship Id="rId38" Type="http://schemas.openxmlformats.org/officeDocument/2006/relationships/hyperlink" Target="http://blast.ncbi.nlm.nih.gov/Blast.cgi" TargetMode="External"/><Relationship Id="rId46"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book-part://BLAST" TargetMode="External"/><Relationship Id="rId20" Type="http://schemas.openxmlformats.org/officeDocument/2006/relationships/hyperlink" Target="http://www.ncbi.nlm.nih.gov/genbank/tpa/" TargetMode="External"/><Relationship Id="rId29" Type="http://schemas.openxmlformats.org/officeDocument/2006/relationships/hyperlink" Target="http://www.ncbi.nlm.nih.gov/gene" TargetMode="External"/><Relationship Id="rId41" Type="http://schemas.openxmlformats.org/officeDocument/2006/relationships/hyperlink" Target="http://www.repeatmasker.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i.nlm.nih.gov/assembly/" TargetMode="External"/><Relationship Id="rId24" Type="http://schemas.openxmlformats.org/officeDocument/2006/relationships/hyperlink" Target="http://www.ncbi.nlm.nih.gov/sra" TargetMode="External"/><Relationship Id="rId32" Type="http://schemas.openxmlformats.org/officeDocument/2006/relationships/hyperlink" Target="http://www.ncbi.nlm.nih.gov/genome/annotation_euk/status/" TargetMode="External"/><Relationship Id="rId37" Type="http://schemas.openxmlformats.org/officeDocument/2006/relationships/hyperlink" Target="http://www.ncbi.nlm.nih.gov/projects/mapview/" TargetMode="External"/><Relationship Id="rId40" Type="http://schemas.openxmlformats.org/officeDocument/2006/relationships/hyperlink" Target="http://www.ncbi.nlm.nih.gov/pubmed/16287941" TargetMode="External"/><Relationship Id="rId45"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www.ncbi.nlm.nih.gov/assembly/" TargetMode="External"/><Relationship Id="rId23" Type="http://schemas.openxmlformats.org/officeDocument/2006/relationships/hyperlink" Target="http://www.ncbi.nlm.nih.gov/sra" TargetMode="External"/><Relationship Id="rId28" Type="http://schemas.openxmlformats.org/officeDocument/2006/relationships/hyperlink" Target="http://www.ncbi.nlm.nih.gov/gene" TargetMode="External"/><Relationship Id="rId36" Type="http://schemas.openxmlformats.org/officeDocument/2006/relationships/hyperlink" Target="ftp://ftp.ncbi.nih.gov/genomes/" TargetMode="External"/><Relationship Id="rId49"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www.ncbi.nlm.nih.gov/genbank" TargetMode="External"/><Relationship Id="rId31" Type="http://schemas.openxmlformats.org/officeDocument/2006/relationships/hyperlink" Target="http://www.ncbi.nlm.nih.gov/RefSeq/" TargetMode="External"/><Relationship Id="rId44" Type="http://schemas.openxmlformats.org/officeDocument/2006/relationships/image" Target="media/image3.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bi.ac.uk/ena/" TargetMode="External"/><Relationship Id="rId22" Type="http://schemas.openxmlformats.org/officeDocument/2006/relationships/hyperlink" Target="http://www.ncbi.nlm.nih.gov/dbEST/" TargetMode="External"/><Relationship Id="rId27" Type="http://schemas.openxmlformats.org/officeDocument/2006/relationships/hyperlink" Target="http://www.mirbase.org" TargetMode="External"/><Relationship Id="rId30" Type="http://schemas.openxmlformats.org/officeDocument/2006/relationships/hyperlink" Target="http://www.ncbi.nlm.nih.gov/RefSeq/" TargetMode="External"/><Relationship Id="rId35" Type="http://schemas.openxmlformats.org/officeDocument/2006/relationships/hyperlink" Target="http://www.ncbi.nlm.nih.gov/gene/" TargetMode="External"/><Relationship Id="rId43" Type="http://schemas.openxmlformats.org/officeDocument/2006/relationships/image" Target="media/image2.png"/><Relationship Id="rId48" Type="http://schemas.openxmlformats.org/officeDocument/2006/relationships/image" Target="media/image7.png"/><Relationship Id="rId8" Type="http://schemas.openxmlformats.org/officeDocument/2006/relationships/webSettings" Target="webSettings.xml"/><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handbook2ed\handbook2e_v2013013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18F61FFD1B3D4A87AD2EA53EF26884" ma:contentTypeVersion="1" ma:contentTypeDescription="Create a new document." ma:contentTypeScope="" ma:versionID="53cc2dab2381c0c8cefd45973d32d05e">
  <xsd:schema xmlns:xsd="http://www.w3.org/2001/XMLSchema" xmlns:p="http://schemas.microsoft.com/office/2006/metadata/properties" xmlns:ns2="2d25d3df-dff4-4c42-a3a2-826eb77380e8" targetNamespace="http://schemas.microsoft.com/office/2006/metadata/properties" ma:root="true" ma:fieldsID="41423fb7876d9f2e259d388a55ad7090" ns2:_="">
    <xsd:import namespace="2d25d3df-dff4-4c42-a3a2-826eb77380e8"/>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2d25d3df-dff4-4c42-a3a2-826eb77380e8" elementFormDefault="qualified">
    <xsd:import namespace="http://schemas.microsoft.com/office/2006/documentManagement/types"/>
    <xsd:element name="Description0" ma:index="8" nillable="true" ma:displayName="Description" ma:description="Description of the Contents of this Document"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Description0 xmlns="2d25d3df-dff4-4c42-a3a2-826eb77380e8">Eukaryotic annotation pipeline chapter</Description0>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B8DE8-0750-48F4-B8A2-C78A6A201A62}">
  <ds:schemaRefs>
    <ds:schemaRef ds:uri="http://schemas.microsoft.com/sharepoint/v3/contenttype/forms"/>
  </ds:schemaRefs>
</ds:datastoreItem>
</file>

<file path=customXml/itemProps2.xml><?xml version="1.0" encoding="utf-8"?>
<ds:datastoreItem xmlns:ds="http://schemas.openxmlformats.org/officeDocument/2006/customXml" ds:itemID="{EDE7AF13-044D-45D1-A9F6-07791BBDB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5d3df-dff4-4c42-a3a2-826eb77380e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0C056AF-5A2A-4B3F-99D9-2C76E2DD7834}">
  <ds:schemaRefs>
    <ds:schemaRef ds:uri="http://www.w3.org/XML/1998/namespace"/>
    <ds:schemaRef ds:uri="http://schemas.openxmlformats.org/package/2006/metadata/core-properties"/>
    <ds:schemaRef ds:uri="http://purl.org/dc/elements/1.1/"/>
    <ds:schemaRef ds:uri="http://purl.org/dc/terms/"/>
    <ds:schemaRef ds:uri="http://schemas.microsoft.com/office/2006/metadata/properties"/>
    <ds:schemaRef ds:uri="2d25d3df-dff4-4c42-a3a2-826eb77380e8"/>
    <ds:schemaRef ds:uri="http://schemas.microsoft.com/office/2006/documentManagement/types"/>
    <ds:schemaRef ds:uri="http://purl.org/dc/dcmitype/"/>
  </ds:schemaRefs>
</ds:datastoreItem>
</file>

<file path=customXml/itemProps4.xml><?xml version="1.0" encoding="utf-8"?>
<ds:datastoreItem xmlns:ds="http://schemas.openxmlformats.org/officeDocument/2006/customXml" ds:itemID="{383A76BE-681B-4733-9A3B-F58306B16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handbook2e_v20130131.dotx</Template>
  <TotalTime>22</TotalTime>
  <Pages>24</Pages>
  <Words>7502</Words>
  <Characters>44352</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Authoring template for NCBI Handbook 2ed.</vt:lpstr>
    </vt:vector>
  </TitlesOfParts>
  <Company>NCBI/NLM/NIH</Company>
  <LinksUpToDate>false</LinksUpToDate>
  <CharactersWithSpaces>51751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Authoring template for NCBI Handbook 2ed.</dc:title>
  <dc:creator>Kim Pruitt</dc:creator>
  <cp:lastModifiedBy>Grammer, Samuel (NIH/NLM/NCBI) [C]</cp:lastModifiedBy>
  <cp:revision>5</cp:revision>
  <cp:lastPrinted>2013-10-24T21:54:00Z</cp:lastPrinted>
  <dcterms:created xsi:type="dcterms:W3CDTF">2016-04-22T19:48:00Z</dcterms:created>
  <dcterms:modified xsi:type="dcterms:W3CDTF">2016-11-14T21:40:00Z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0x010100E318F61FFD1B3D4A87AD2EA53EF26884</vt:lpwstr>
  </property>
</Properties>
</file>