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020" w:firstRow="1" w:lastRow="0" w:firstColumn="0" w:lastColumn="0" w:noHBand="0" w:noVBand="0"/>
      </w:tblPr>
      <w:tblGrid>
        <w:gridCol w:w="1504"/>
        <w:gridCol w:w="647"/>
        <w:gridCol w:w="2127"/>
        <w:gridCol w:w="2146"/>
        <w:gridCol w:w="2111"/>
      </w:tblGrid>
      <w:tr w:rsidR="006646D6" w14:paraId="10F1A569" w14:textId="77777777" w:rsidTr="006646D6">
        <w:trPr>
          <w:cantSplit/>
          <w:trHeight w:val="432"/>
        </w:trPr>
        <w:tc>
          <w:tcPr>
            <w:tcW w:w="0" w:type="auto"/>
            <w:gridSpan w:val="5"/>
            <w:tcBorders>
              <w:bottom w:val="single" w:sz="12" w:space="0" w:color="990000"/>
            </w:tcBorders>
            <w:shd w:val="clear" w:color="auto" w:fill="E6E6E6"/>
            <w:vAlign w:val="center"/>
          </w:tcPr>
          <w:p w14:paraId="7D751D4A" w14:textId="77777777" w:rsidR="006646D6" w:rsidRDefault="006646D6" w:rsidP="006646D6">
            <w:pPr>
              <w:spacing w:after="0"/>
              <w:rPr>
                <w:b/>
                <w:sz w:val="20"/>
              </w:rPr>
            </w:pPr>
            <w:r>
              <w:rPr>
                <w:b/>
                <w:sz w:val="20"/>
              </w:rPr>
              <w:t>Document Information</w:t>
            </w:r>
          </w:p>
        </w:tc>
      </w:tr>
      <w:tr w:rsidR="006646D6" w14:paraId="29F7DF44" w14:textId="77777777" w:rsidTr="006646D6">
        <w:trPr>
          <w:trHeight w:val="288"/>
        </w:trPr>
        <w:tc>
          <w:tcPr>
            <w:tcW w:w="0" w:type="auto"/>
            <w:tcBorders>
              <w:top w:val="single" w:sz="12" w:space="0" w:color="990000"/>
              <w:bottom w:val="single" w:sz="4" w:space="0" w:color="auto"/>
            </w:tcBorders>
            <w:vAlign w:val="bottom"/>
          </w:tcPr>
          <w:p w14:paraId="216354A2" w14:textId="77777777" w:rsidR="006646D6" w:rsidRDefault="006646D6" w:rsidP="006646D6">
            <w:pPr>
              <w:spacing w:after="0"/>
              <w:rPr>
                <w:sz w:val="20"/>
              </w:rPr>
            </w:pPr>
            <w:r>
              <w:rPr>
                <w:sz w:val="20"/>
              </w:rPr>
              <w:t>Document Type</w:t>
            </w:r>
          </w:p>
        </w:tc>
        <w:tc>
          <w:tcPr>
            <w:tcW w:w="0" w:type="auto"/>
            <w:tcBorders>
              <w:top w:val="single" w:sz="12" w:space="0" w:color="990000"/>
              <w:bottom w:val="single" w:sz="4" w:space="0" w:color="auto"/>
            </w:tcBorders>
            <w:vAlign w:val="bottom"/>
          </w:tcPr>
          <w:p w14:paraId="7AB29A1F" w14:textId="77777777" w:rsidR="006646D6" w:rsidRDefault="006646D6" w:rsidP="006646D6">
            <w:pPr>
              <w:spacing w:after="0"/>
              <w:rPr>
                <w:sz w:val="20"/>
              </w:rPr>
            </w:pPr>
            <w:r>
              <w:rPr>
                <w:sz w:val="20"/>
              </w:rPr>
              <w:t>Label</w:t>
            </w:r>
          </w:p>
        </w:tc>
        <w:tc>
          <w:tcPr>
            <w:tcW w:w="0" w:type="auto"/>
            <w:tcBorders>
              <w:top w:val="single" w:sz="12" w:space="0" w:color="990000"/>
              <w:bottom w:val="single" w:sz="4" w:space="0" w:color="auto"/>
            </w:tcBorders>
            <w:vAlign w:val="bottom"/>
          </w:tcPr>
          <w:p w14:paraId="30CF9E35" w14:textId="77777777" w:rsidR="006646D6" w:rsidRDefault="006646D6" w:rsidP="006646D6">
            <w:pPr>
              <w:spacing w:after="0"/>
              <w:rPr>
                <w:sz w:val="20"/>
              </w:rPr>
            </w:pPr>
            <w:r>
              <w:rPr>
                <w:sz w:val="20"/>
              </w:rPr>
              <w:t>Created (YYYY-MM-DD)</w:t>
            </w:r>
          </w:p>
        </w:tc>
        <w:tc>
          <w:tcPr>
            <w:tcW w:w="0" w:type="auto"/>
            <w:tcBorders>
              <w:top w:val="single" w:sz="12" w:space="0" w:color="990000"/>
              <w:bottom w:val="single" w:sz="4" w:space="0" w:color="auto"/>
            </w:tcBorders>
            <w:shd w:val="clear" w:color="auto" w:fill="auto"/>
            <w:tcMar>
              <w:top w:w="0" w:type="dxa"/>
              <w:left w:w="58" w:type="dxa"/>
              <w:bottom w:w="29" w:type="dxa"/>
              <w:right w:w="115" w:type="dxa"/>
            </w:tcMar>
            <w:vAlign w:val="bottom"/>
          </w:tcPr>
          <w:p w14:paraId="27F53657" w14:textId="77777777" w:rsidR="006646D6" w:rsidRDefault="006646D6" w:rsidP="006646D6">
            <w:pPr>
              <w:spacing w:after="0"/>
              <w:rPr>
                <w:sz w:val="20"/>
              </w:rPr>
            </w:pPr>
            <w:r>
              <w:rPr>
                <w:sz w:val="20"/>
              </w:rPr>
              <w:t>Updated (YYYY-MM-DD)</w:t>
            </w:r>
          </w:p>
        </w:tc>
        <w:tc>
          <w:tcPr>
            <w:tcW w:w="0" w:type="auto"/>
            <w:tcBorders>
              <w:top w:val="single" w:sz="12" w:space="0" w:color="990000"/>
              <w:bottom w:val="single" w:sz="4" w:space="0" w:color="auto"/>
            </w:tcBorders>
            <w:shd w:val="clear" w:color="auto" w:fill="auto"/>
            <w:vAlign w:val="bottom"/>
          </w:tcPr>
          <w:p w14:paraId="05326E57" w14:textId="77777777" w:rsidR="006646D6" w:rsidRDefault="006646D6" w:rsidP="006646D6">
            <w:pPr>
              <w:spacing w:after="0"/>
              <w:rPr>
                <w:sz w:val="20"/>
              </w:rPr>
            </w:pPr>
            <w:r>
              <w:rPr>
                <w:sz w:val="20"/>
              </w:rPr>
              <w:t>Revised (YYYY-MM-DD)</w:t>
            </w:r>
          </w:p>
          <w:p w14:paraId="7ABFC510" w14:textId="77777777" w:rsidR="006646D6" w:rsidRDefault="006646D6" w:rsidP="006646D6">
            <w:pPr>
              <w:spacing w:after="0"/>
              <w:rPr>
                <w:sz w:val="20"/>
              </w:rPr>
            </w:pPr>
            <w:r>
              <w:rPr>
                <w:sz w:val="20"/>
              </w:rPr>
              <w:t>(</w:t>
            </w:r>
            <w:proofErr w:type="spellStart"/>
            <w:r w:rsidRPr="003012B3">
              <w:rPr>
                <w:i/>
                <w:sz w:val="20"/>
              </w:rPr>
              <w:t>GeneReviews</w:t>
            </w:r>
            <w:proofErr w:type="spellEnd"/>
            <w:r>
              <w:rPr>
                <w:sz w:val="20"/>
              </w:rPr>
              <w:t xml:space="preserve"> Project)</w:t>
            </w:r>
          </w:p>
        </w:tc>
      </w:tr>
      <w:tr w:rsidR="006646D6" w14:paraId="6AEBFC7C" w14:textId="77777777" w:rsidTr="006646D6">
        <w:trPr>
          <w:trHeight w:val="288"/>
        </w:trPr>
        <w:tc>
          <w:tcPr>
            <w:tcW w:w="0" w:type="auto"/>
            <w:tcBorders>
              <w:top w:val="single" w:sz="4" w:space="0" w:color="auto"/>
              <w:bottom w:val="single" w:sz="4" w:space="0" w:color="auto"/>
            </w:tcBorders>
            <w:vAlign w:val="bottom"/>
          </w:tcPr>
          <w:p w14:paraId="253CEF46" w14:textId="1F368295" w:rsidR="006646D6" w:rsidRDefault="00071B00" w:rsidP="006646D6">
            <w:pPr>
              <w:spacing w:after="0"/>
              <w:rPr>
                <w:sz w:val="20"/>
              </w:rPr>
            </w:pPr>
            <w:r>
              <w:rPr>
                <w:sz w:val="20"/>
              </w:rPr>
              <w:t>chapter</w:t>
            </w:r>
          </w:p>
        </w:tc>
        <w:tc>
          <w:tcPr>
            <w:tcW w:w="0" w:type="auto"/>
            <w:tcBorders>
              <w:top w:val="single" w:sz="4" w:space="0" w:color="auto"/>
              <w:bottom w:val="single" w:sz="4" w:space="0" w:color="auto"/>
            </w:tcBorders>
            <w:vAlign w:val="bottom"/>
          </w:tcPr>
          <w:p w14:paraId="2DB4136B" w14:textId="77777777" w:rsidR="006646D6" w:rsidRDefault="006646D6" w:rsidP="006646D6">
            <w:pPr>
              <w:spacing w:after="0"/>
              <w:rPr>
                <w:sz w:val="20"/>
              </w:rPr>
            </w:pPr>
          </w:p>
        </w:tc>
        <w:tc>
          <w:tcPr>
            <w:tcW w:w="0" w:type="auto"/>
            <w:tcBorders>
              <w:top w:val="single" w:sz="4" w:space="0" w:color="auto"/>
              <w:bottom w:val="single" w:sz="4" w:space="0" w:color="auto"/>
            </w:tcBorders>
            <w:vAlign w:val="bottom"/>
          </w:tcPr>
          <w:p w14:paraId="7059B22E" w14:textId="2CBEB634" w:rsidR="006646D6" w:rsidRDefault="00071B00" w:rsidP="00C56800">
            <w:pPr>
              <w:spacing w:after="0"/>
              <w:rPr>
                <w:sz w:val="20"/>
              </w:rPr>
            </w:pPr>
            <w:r>
              <w:rPr>
                <w:sz w:val="20"/>
              </w:rPr>
              <w:t>2021-0</w:t>
            </w:r>
            <w:r w:rsidR="00C56800">
              <w:rPr>
                <w:sz w:val="20"/>
              </w:rPr>
              <w:t>4</w:t>
            </w:r>
            <w:r>
              <w:rPr>
                <w:sz w:val="20"/>
              </w:rPr>
              <w:t>-01</w:t>
            </w:r>
          </w:p>
        </w:tc>
        <w:tc>
          <w:tcPr>
            <w:tcW w:w="0" w:type="auto"/>
            <w:tcBorders>
              <w:top w:val="single" w:sz="4" w:space="0" w:color="auto"/>
              <w:bottom w:val="single" w:sz="4" w:space="0" w:color="auto"/>
            </w:tcBorders>
            <w:shd w:val="clear" w:color="auto" w:fill="auto"/>
            <w:tcMar>
              <w:top w:w="0" w:type="dxa"/>
              <w:left w:w="58" w:type="dxa"/>
              <w:bottom w:w="29" w:type="dxa"/>
              <w:right w:w="115" w:type="dxa"/>
            </w:tcMar>
            <w:vAlign w:val="bottom"/>
          </w:tcPr>
          <w:p w14:paraId="3C158566" w14:textId="77777777" w:rsidR="006646D6" w:rsidRDefault="006646D6" w:rsidP="006646D6">
            <w:pPr>
              <w:spacing w:after="0"/>
              <w:rPr>
                <w:sz w:val="20"/>
              </w:rPr>
            </w:pPr>
          </w:p>
        </w:tc>
        <w:tc>
          <w:tcPr>
            <w:tcW w:w="0" w:type="auto"/>
            <w:tcBorders>
              <w:top w:val="single" w:sz="4" w:space="0" w:color="auto"/>
              <w:bottom w:val="single" w:sz="4" w:space="0" w:color="auto"/>
            </w:tcBorders>
            <w:shd w:val="clear" w:color="auto" w:fill="auto"/>
            <w:vAlign w:val="bottom"/>
          </w:tcPr>
          <w:p w14:paraId="20AB691B" w14:textId="77777777" w:rsidR="006646D6" w:rsidRDefault="006646D6" w:rsidP="006646D6">
            <w:pPr>
              <w:spacing w:after="0"/>
              <w:rPr>
                <w:sz w:val="20"/>
              </w:rPr>
            </w:pPr>
          </w:p>
        </w:tc>
      </w:tr>
    </w:tbl>
    <w:p w14:paraId="7A420C6A" w14:textId="77777777" w:rsidR="006646D6" w:rsidRDefault="006646D6" w:rsidP="006646D6">
      <w:pPr>
        <w:pStyle w:val="Comment"/>
      </w:pPr>
      <w:r>
        <w:t>Note: for “Document Type”, choose only one of the following: appendix, chapter, dedication, foreword, front-matter-part, glossary, preface, ref-list, or section.</w:t>
      </w:r>
    </w:p>
    <w:p w14:paraId="52E349F3" w14:textId="77777777" w:rsidR="006646D6" w:rsidRDefault="006646D6" w:rsidP="006646D6"/>
    <w:tbl>
      <w:tblPr>
        <w:tblW w:w="0" w:type="auto"/>
        <w:tblLook w:val="0020" w:firstRow="1" w:lastRow="0" w:firstColumn="0" w:lastColumn="0" w:noHBand="0" w:noVBand="0"/>
      </w:tblPr>
      <w:tblGrid>
        <w:gridCol w:w="1530"/>
        <w:gridCol w:w="2610"/>
        <w:gridCol w:w="2340"/>
      </w:tblGrid>
      <w:tr w:rsidR="006646D6" w14:paraId="249C133F" w14:textId="77777777" w:rsidTr="006646D6">
        <w:trPr>
          <w:cantSplit/>
          <w:trHeight w:val="432"/>
        </w:trPr>
        <w:tc>
          <w:tcPr>
            <w:tcW w:w="6480" w:type="dxa"/>
            <w:gridSpan w:val="3"/>
            <w:tcBorders>
              <w:bottom w:val="single" w:sz="12" w:space="0" w:color="990000"/>
            </w:tcBorders>
            <w:shd w:val="clear" w:color="auto" w:fill="E6E6E6"/>
            <w:vAlign w:val="center"/>
          </w:tcPr>
          <w:p w14:paraId="7498CA76" w14:textId="77777777" w:rsidR="006646D6" w:rsidRDefault="006646D6" w:rsidP="006646D6">
            <w:pPr>
              <w:spacing w:after="0"/>
              <w:rPr>
                <w:b/>
                <w:sz w:val="20"/>
              </w:rPr>
            </w:pPr>
            <w:r>
              <w:rPr>
                <w:b/>
                <w:sz w:val="20"/>
              </w:rPr>
              <w:t>Supplementary Information</w:t>
            </w:r>
          </w:p>
        </w:tc>
      </w:tr>
      <w:tr w:rsidR="006646D6" w14:paraId="6A14E217" w14:textId="77777777" w:rsidTr="006646D6">
        <w:trPr>
          <w:trHeight w:val="288"/>
        </w:trPr>
        <w:tc>
          <w:tcPr>
            <w:tcW w:w="1530" w:type="dxa"/>
            <w:tcBorders>
              <w:top w:val="single" w:sz="12" w:space="0" w:color="990000"/>
              <w:bottom w:val="single" w:sz="4" w:space="0" w:color="auto"/>
            </w:tcBorders>
            <w:vAlign w:val="bottom"/>
          </w:tcPr>
          <w:p w14:paraId="129B0D77" w14:textId="77777777" w:rsidR="006646D6" w:rsidRDefault="006646D6" w:rsidP="006646D6">
            <w:pPr>
              <w:spacing w:after="0"/>
              <w:rPr>
                <w:sz w:val="20"/>
              </w:rPr>
            </w:pPr>
            <w:r>
              <w:rPr>
                <w:sz w:val="20"/>
              </w:rPr>
              <w:t>Indexed? (Yes or No)</w:t>
            </w:r>
          </w:p>
        </w:tc>
        <w:tc>
          <w:tcPr>
            <w:tcW w:w="2610" w:type="dxa"/>
            <w:tcBorders>
              <w:top w:val="single" w:sz="12" w:space="0" w:color="990000"/>
              <w:bottom w:val="single" w:sz="4" w:space="0" w:color="auto"/>
            </w:tcBorders>
            <w:vAlign w:val="bottom"/>
          </w:tcPr>
          <w:p w14:paraId="61603CD6" w14:textId="77777777" w:rsidR="006646D6" w:rsidRDefault="006646D6" w:rsidP="006646D6">
            <w:pPr>
              <w:spacing w:after="0"/>
              <w:rPr>
                <w:sz w:val="20"/>
              </w:rPr>
            </w:pPr>
            <w:r>
              <w:rPr>
                <w:sz w:val="20"/>
              </w:rPr>
              <w:t>Include in Book TOC? (Yes or No)</w:t>
            </w:r>
          </w:p>
        </w:tc>
        <w:tc>
          <w:tcPr>
            <w:tcW w:w="2340" w:type="dxa"/>
            <w:tcBorders>
              <w:top w:val="single" w:sz="12" w:space="0" w:color="990000"/>
              <w:bottom w:val="single" w:sz="4" w:space="0" w:color="auto"/>
            </w:tcBorders>
            <w:shd w:val="clear" w:color="auto" w:fill="auto"/>
            <w:tcMar>
              <w:top w:w="0" w:type="dxa"/>
              <w:left w:w="58" w:type="dxa"/>
              <w:bottom w:w="29" w:type="dxa"/>
              <w:right w:w="115" w:type="dxa"/>
            </w:tcMar>
            <w:vAlign w:val="bottom"/>
          </w:tcPr>
          <w:p w14:paraId="440AB6D5" w14:textId="77777777" w:rsidR="006646D6" w:rsidRDefault="006646D6" w:rsidP="006646D6">
            <w:pPr>
              <w:spacing w:after="0"/>
              <w:rPr>
                <w:sz w:val="20"/>
              </w:rPr>
            </w:pPr>
            <w:r>
              <w:rPr>
                <w:sz w:val="20"/>
              </w:rPr>
              <w:t>Generate in-page TOC listing?(Yes or No)</w:t>
            </w:r>
          </w:p>
        </w:tc>
      </w:tr>
      <w:tr w:rsidR="006646D6" w14:paraId="0260B8E3" w14:textId="77777777" w:rsidTr="006646D6">
        <w:trPr>
          <w:trHeight w:val="288"/>
        </w:trPr>
        <w:tc>
          <w:tcPr>
            <w:tcW w:w="0" w:type="auto"/>
            <w:tcBorders>
              <w:top w:val="single" w:sz="4" w:space="0" w:color="auto"/>
              <w:bottom w:val="single" w:sz="4" w:space="0" w:color="auto"/>
            </w:tcBorders>
            <w:vAlign w:val="bottom"/>
          </w:tcPr>
          <w:p w14:paraId="3E328EF5" w14:textId="33CA595D" w:rsidR="006646D6" w:rsidRDefault="001B62C8" w:rsidP="006646D6">
            <w:pPr>
              <w:spacing w:after="0"/>
              <w:rPr>
                <w:sz w:val="20"/>
              </w:rPr>
            </w:pPr>
            <w:r>
              <w:rPr>
                <w:sz w:val="20"/>
              </w:rPr>
              <w:t>Yes</w:t>
            </w:r>
          </w:p>
        </w:tc>
        <w:tc>
          <w:tcPr>
            <w:tcW w:w="2610" w:type="dxa"/>
            <w:tcBorders>
              <w:top w:val="single" w:sz="4" w:space="0" w:color="auto"/>
              <w:bottom w:val="single" w:sz="4" w:space="0" w:color="auto"/>
            </w:tcBorders>
            <w:vAlign w:val="bottom"/>
          </w:tcPr>
          <w:p w14:paraId="34A3177C" w14:textId="4A7792F2" w:rsidR="006646D6" w:rsidRDefault="00016E56" w:rsidP="006646D6">
            <w:pPr>
              <w:spacing w:after="0"/>
              <w:rPr>
                <w:sz w:val="20"/>
              </w:rPr>
            </w:pPr>
            <w:r>
              <w:rPr>
                <w:sz w:val="20"/>
              </w:rPr>
              <w:t>yes</w:t>
            </w:r>
          </w:p>
        </w:tc>
        <w:tc>
          <w:tcPr>
            <w:tcW w:w="2340" w:type="dxa"/>
            <w:tcBorders>
              <w:top w:val="single" w:sz="4" w:space="0" w:color="auto"/>
              <w:bottom w:val="single" w:sz="4" w:space="0" w:color="auto"/>
            </w:tcBorders>
            <w:shd w:val="clear" w:color="auto" w:fill="auto"/>
            <w:tcMar>
              <w:top w:w="0" w:type="dxa"/>
              <w:left w:w="58" w:type="dxa"/>
              <w:bottom w:w="29" w:type="dxa"/>
              <w:right w:w="115" w:type="dxa"/>
            </w:tcMar>
            <w:vAlign w:val="bottom"/>
          </w:tcPr>
          <w:p w14:paraId="6FC8B8A6" w14:textId="77777777" w:rsidR="006646D6" w:rsidRDefault="006646D6" w:rsidP="006646D6">
            <w:pPr>
              <w:spacing w:after="0"/>
              <w:rPr>
                <w:sz w:val="20"/>
              </w:rPr>
            </w:pPr>
          </w:p>
        </w:tc>
      </w:tr>
    </w:tbl>
    <w:p w14:paraId="53A18440" w14:textId="77777777" w:rsidR="006646D6" w:rsidRDefault="006646D6" w:rsidP="006646D6">
      <w:pPr>
        <w:pStyle w:val="Comment"/>
      </w:pPr>
      <w:r>
        <w:t>Blank or “Yes” is the default value, indicating these features will apply to the document.</w:t>
      </w:r>
    </w:p>
    <w:p w14:paraId="765B7666" w14:textId="77777777" w:rsidR="006646D6" w:rsidRDefault="006646D6" w:rsidP="006646D6"/>
    <w:tbl>
      <w:tblPr>
        <w:tblW w:w="0" w:type="auto"/>
        <w:tblInd w:w="216" w:type="dxa"/>
        <w:tblLayout w:type="fixed"/>
        <w:tblLook w:val="0020" w:firstRow="1" w:lastRow="0" w:firstColumn="0" w:lastColumn="0" w:noHBand="0" w:noVBand="0"/>
      </w:tblPr>
      <w:tblGrid>
        <w:gridCol w:w="1561"/>
        <w:gridCol w:w="1184"/>
        <w:gridCol w:w="837"/>
        <w:gridCol w:w="990"/>
        <w:gridCol w:w="1080"/>
        <w:gridCol w:w="1440"/>
        <w:gridCol w:w="1260"/>
        <w:gridCol w:w="1620"/>
      </w:tblGrid>
      <w:tr w:rsidR="006646D6" w14:paraId="215DEBFA" w14:textId="77777777" w:rsidTr="006646D6">
        <w:trPr>
          <w:cantSplit/>
          <w:trHeight w:val="432"/>
        </w:trPr>
        <w:tc>
          <w:tcPr>
            <w:tcW w:w="9972" w:type="dxa"/>
            <w:gridSpan w:val="8"/>
            <w:tcBorders>
              <w:top w:val="nil"/>
              <w:left w:val="nil"/>
              <w:bottom w:val="single" w:sz="12" w:space="0" w:color="990000"/>
              <w:right w:val="nil"/>
            </w:tcBorders>
            <w:shd w:val="clear" w:color="auto" w:fill="E6E6E6"/>
            <w:vAlign w:val="center"/>
          </w:tcPr>
          <w:p w14:paraId="2DDA0E28" w14:textId="77777777" w:rsidR="006646D6" w:rsidRDefault="006646D6" w:rsidP="006646D6">
            <w:pPr>
              <w:spacing w:after="0"/>
              <w:rPr>
                <w:b/>
                <w:sz w:val="20"/>
              </w:rPr>
            </w:pPr>
            <w:r>
              <w:rPr>
                <w:b/>
                <w:sz w:val="20"/>
              </w:rPr>
              <w:t>Author Information</w:t>
            </w:r>
          </w:p>
        </w:tc>
      </w:tr>
      <w:tr w:rsidR="006646D6" w14:paraId="406B1CC1" w14:textId="77777777" w:rsidTr="006646D6">
        <w:trPr>
          <w:trHeight w:val="432"/>
        </w:trPr>
        <w:tc>
          <w:tcPr>
            <w:tcW w:w="1561" w:type="dxa"/>
            <w:tcBorders>
              <w:top w:val="nil"/>
              <w:left w:val="nil"/>
              <w:bottom w:val="single" w:sz="4" w:space="0" w:color="auto"/>
              <w:right w:val="nil"/>
            </w:tcBorders>
            <w:vAlign w:val="bottom"/>
          </w:tcPr>
          <w:p w14:paraId="2B328853" w14:textId="77777777" w:rsidR="006646D6" w:rsidRDefault="006646D6" w:rsidP="006646D6">
            <w:pPr>
              <w:spacing w:after="0"/>
              <w:rPr>
                <w:sz w:val="20"/>
              </w:rPr>
            </w:pPr>
            <w:r>
              <w:rPr>
                <w:sz w:val="20"/>
              </w:rPr>
              <w:t>Given Name(s)</w:t>
            </w:r>
          </w:p>
        </w:tc>
        <w:tc>
          <w:tcPr>
            <w:tcW w:w="1184" w:type="dxa"/>
            <w:tcBorders>
              <w:top w:val="nil"/>
              <w:left w:val="nil"/>
              <w:bottom w:val="single" w:sz="4" w:space="0" w:color="auto"/>
              <w:right w:val="nil"/>
            </w:tcBorders>
            <w:vAlign w:val="bottom"/>
          </w:tcPr>
          <w:p w14:paraId="4CA49BF6" w14:textId="77777777" w:rsidR="006646D6" w:rsidRDefault="006646D6" w:rsidP="006646D6">
            <w:pPr>
              <w:spacing w:after="0"/>
              <w:rPr>
                <w:sz w:val="20"/>
              </w:rPr>
            </w:pPr>
            <w:r>
              <w:rPr>
                <w:sz w:val="20"/>
              </w:rPr>
              <w:t>Last Name</w:t>
            </w:r>
          </w:p>
        </w:tc>
        <w:tc>
          <w:tcPr>
            <w:tcW w:w="837" w:type="dxa"/>
            <w:tcBorders>
              <w:top w:val="nil"/>
              <w:left w:val="nil"/>
              <w:bottom w:val="single" w:sz="4" w:space="0" w:color="auto"/>
              <w:right w:val="nil"/>
            </w:tcBorders>
            <w:vAlign w:val="bottom"/>
          </w:tcPr>
          <w:p w14:paraId="620014F7" w14:textId="77777777" w:rsidR="006646D6" w:rsidRDefault="006646D6" w:rsidP="006646D6">
            <w:pPr>
              <w:spacing w:after="0"/>
              <w:rPr>
                <w:sz w:val="20"/>
              </w:rPr>
            </w:pPr>
            <w:r>
              <w:rPr>
                <w:sz w:val="20"/>
              </w:rPr>
              <w:t>Suffix</w:t>
            </w:r>
          </w:p>
        </w:tc>
        <w:tc>
          <w:tcPr>
            <w:tcW w:w="990" w:type="dxa"/>
            <w:tcBorders>
              <w:top w:val="nil"/>
              <w:left w:val="nil"/>
              <w:bottom w:val="single" w:sz="4" w:space="0" w:color="auto"/>
              <w:right w:val="nil"/>
            </w:tcBorders>
            <w:vAlign w:val="bottom"/>
          </w:tcPr>
          <w:p w14:paraId="38313773" w14:textId="77777777" w:rsidR="006646D6" w:rsidRDefault="006646D6" w:rsidP="006646D6">
            <w:pPr>
              <w:spacing w:after="0"/>
              <w:rPr>
                <w:sz w:val="20"/>
              </w:rPr>
            </w:pPr>
            <w:r>
              <w:rPr>
                <w:sz w:val="20"/>
              </w:rPr>
              <w:t>Degrees</w:t>
            </w:r>
          </w:p>
        </w:tc>
        <w:tc>
          <w:tcPr>
            <w:tcW w:w="1080" w:type="dxa"/>
            <w:tcBorders>
              <w:top w:val="nil"/>
              <w:left w:val="nil"/>
              <w:bottom w:val="single" w:sz="4" w:space="0" w:color="auto"/>
              <w:right w:val="nil"/>
            </w:tcBorders>
            <w:vAlign w:val="bottom"/>
          </w:tcPr>
          <w:p w14:paraId="532909F2" w14:textId="77777777" w:rsidR="006646D6" w:rsidRDefault="006646D6" w:rsidP="006646D6">
            <w:pPr>
              <w:spacing w:after="0"/>
              <w:rPr>
                <w:sz w:val="20"/>
              </w:rPr>
            </w:pPr>
            <w:r>
              <w:rPr>
                <w:sz w:val="20"/>
              </w:rPr>
              <w:t>Affiliation</w:t>
            </w:r>
          </w:p>
        </w:tc>
        <w:tc>
          <w:tcPr>
            <w:tcW w:w="1440" w:type="dxa"/>
            <w:tcBorders>
              <w:top w:val="nil"/>
              <w:left w:val="nil"/>
              <w:bottom w:val="single" w:sz="4" w:space="0" w:color="auto"/>
              <w:right w:val="nil"/>
            </w:tcBorders>
            <w:vAlign w:val="bottom"/>
          </w:tcPr>
          <w:p w14:paraId="686F7A94" w14:textId="77777777" w:rsidR="006646D6" w:rsidRDefault="006646D6" w:rsidP="006646D6">
            <w:pPr>
              <w:spacing w:after="0"/>
              <w:rPr>
                <w:sz w:val="20"/>
              </w:rPr>
            </w:pPr>
            <w:r>
              <w:rPr>
                <w:sz w:val="20"/>
              </w:rPr>
              <w:t>Email</w:t>
            </w:r>
          </w:p>
        </w:tc>
        <w:tc>
          <w:tcPr>
            <w:tcW w:w="1260" w:type="dxa"/>
            <w:tcBorders>
              <w:top w:val="nil"/>
              <w:left w:val="nil"/>
              <w:bottom w:val="single" w:sz="4" w:space="0" w:color="auto"/>
              <w:right w:val="nil"/>
            </w:tcBorders>
            <w:vAlign w:val="bottom"/>
          </w:tcPr>
          <w:p w14:paraId="17BE6EAA" w14:textId="77777777" w:rsidR="006646D6" w:rsidRDefault="006646D6" w:rsidP="006646D6">
            <w:pPr>
              <w:spacing w:after="0"/>
              <w:rPr>
                <w:sz w:val="20"/>
              </w:rPr>
            </w:pPr>
            <w:r>
              <w:rPr>
                <w:sz w:val="20"/>
              </w:rPr>
              <w:t>Corr. Au. ?</w:t>
            </w:r>
          </w:p>
          <w:p w14:paraId="7FA81CA3" w14:textId="77777777" w:rsidR="006646D6" w:rsidRDefault="006646D6" w:rsidP="006646D6">
            <w:pPr>
              <w:spacing w:after="0"/>
              <w:rPr>
                <w:sz w:val="20"/>
              </w:rPr>
            </w:pPr>
            <w:r>
              <w:rPr>
                <w:sz w:val="20"/>
              </w:rPr>
              <w:t>(Yes)</w:t>
            </w:r>
          </w:p>
        </w:tc>
        <w:tc>
          <w:tcPr>
            <w:tcW w:w="1620" w:type="dxa"/>
            <w:tcBorders>
              <w:top w:val="nil"/>
              <w:left w:val="nil"/>
              <w:bottom w:val="single" w:sz="4" w:space="0" w:color="auto"/>
              <w:right w:val="nil"/>
            </w:tcBorders>
            <w:vAlign w:val="bottom"/>
          </w:tcPr>
          <w:p w14:paraId="6F5F91D9" w14:textId="77777777" w:rsidR="006646D6" w:rsidRDefault="006646D6" w:rsidP="006646D6">
            <w:pPr>
              <w:spacing w:after="0"/>
              <w:rPr>
                <w:sz w:val="20"/>
              </w:rPr>
            </w:pPr>
            <w:r>
              <w:rPr>
                <w:sz w:val="20"/>
              </w:rPr>
              <w:t>Au. Footnote</w:t>
            </w:r>
          </w:p>
        </w:tc>
      </w:tr>
      <w:tr w:rsidR="006646D6" w14:paraId="46D709B9" w14:textId="77777777" w:rsidTr="006646D6">
        <w:trPr>
          <w:trHeight w:val="432"/>
        </w:trPr>
        <w:tc>
          <w:tcPr>
            <w:tcW w:w="1561" w:type="dxa"/>
            <w:tcBorders>
              <w:top w:val="nil"/>
              <w:left w:val="nil"/>
              <w:bottom w:val="single" w:sz="4" w:space="0" w:color="auto"/>
              <w:right w:val="nil"/>
            </w:tcBorders>
            <w:vAlign w:val="center"/>
          </w:tcPr>
          <w:p w14:paraId="683AF9BE" w14:textId="6DA7DA03" w:rsidR="006646D6" w:rsidRDefault="000349F4" w:rsidP="000349F4">
            <w:pPr>
              <w:spacing w:after="0"/>
              <w:rPr>
                <w:sz w:val="20"/>
              </w:rPr>
            </w:pPr>
            <w:r>
              <w:t xml:space="preserve">Sam R.J. </w:t>
            </w:r>
          </w:p>
        </w:tc>
        <w:tc>
          <w:tcPr>
            <w:tcW w:w="1184" w:type="dxa"/>
            <w:tcBorders>
              <w:top w:val="nil"/>
              <w:left w:val="nil"/>
              <w:bottom w:val="single" w:sz="4" w:space="0" w:color="auto"/>
              <w:right w:val="nil"/>
            </w:tcBorders>
            <w:vAlign w:val="center"/>
          </w:tcPr>
          <w:p w14:paraId="398BE1DD" w14:textId="5B6390E9" w:rsidR="006646D6" w:rsidRDefault="000349F4" w:rsidP="006646D6">
            <w:pPr>
              <w:spacing w:after="0"/>
              <w:rPr>
                <w:sz w:val="20"/>
              </w:rPr>
            </w:pPr>
            <w:r>
              <w:t>Hoare</w:t>
            </w:r>
          </w:p>
        </w:tc>
        <w:tc>
          <w:tcPr>
            <w:tcW w:w="837" w:type="dxa"/>
            <w:tcBorders>
              <w:top w:val="nil"/>
              <w:left w:val="nil"/>
              <w:bottom w:val="single" w:sz="4" w:space="0" w:color="auto"/>
              <w:right w:val="nil"/>
            </w:tcBorders>
            <w:vAlign w:val="center"/>
          </w:tcPr>
          <w:p w14:paraId="4664AE15" w14:textId="77777777" w:rsidR="006646D6" w:rsidRDefault="006646D6" w:rsidP="006646D6">
            <w:pPr>
              <w:spacing w:after="0"/>
              <w:rPr>
                <w:sz w:val="20"/>
              </w:rPr>
            </w:pPr>
          </w:p>
        </w:tc>
        <w:tc>
          <w:tcPr>
            <w:tcW w:w="990" w:type="dxa"/>
            <w:tcBorders>
              <w:top w:val="nil"/>
              <w:left w:val="nil"/>
              <w:bottom w:val="single" w:sz="4" w:space="0" w:color="auto"/>
              <w:right w:val="nil"/>
            </w:tcBorders>
            <w:vAlign w:val="center"/>
          </w:tcPr>
          <w:p w14:paraId="1F772A75" w14:textId="77777777" w:rsidR="006646D6" w:rsidRDefault="006646D6" w:rsidP="006646D6">
            <w:pPr>
              <w:spacing w:after="0"/>
              <w:rPr>
                <w:sz w:val="20"/>
              </w:rPr>
            </w:pPr>
          </w:p>
        </w:tc>
        <w:tc>
          <w:tcPr>
            <w:tcW w:w="1080" w:type="dxa"/>
            <w:tcBorders>
              <w:top w:val="nil"/>
              <w:left w:val="nil"/>
              <w:bottom w:val="single" w:sz="4" w:space="0" w:color="auto"/>
              <w:right w:val="nil"/>
            </w:tcBorders>
            <w:vAlign w:val="center"/>
          </w:tcPr>
          <w:p w14:paraId="39A48147" w14:textId="23F2D042" w:rsidR="006646D6" w:rsidRDefault="000349F4" w:rsidP="006646D6">
            <w:pPr>
              <w:spacing w:after="0"/>
              <w:rPr>
                <w:sz w:val="20"/>
              </w:rPr>
            </w:pPr>
            <w:r>
              <w:rPr>
                <w:sz w:val="20"/>
              </w:rPr>
              <w:t>1</w:t>
            </w:r>
          </w:p>
        </w:tc>
        <w:tc>
          <w:tcPr>
            <w:tcW w:w="1440" w:type="dxa"/>
            <w:tcBorders>
              <w:top w:val="nil"/>
              <w:left w:val="nil"/>
              <w:bottom w:val="single" w:sz="4" w:space="0" w:color="auto"/>
              <w:right w:val="nil"/>
            </w:tcBorders>
            <w:vAlign w:val="center"/>
          </w:tcPr>
          <w:p w14:paraId="77005229" w14:textId="6F9B8481" w:rsidR="006646D6" w:rsidRDefault="00CF1AF2" w:rsidP="006646D6">
            <w:pPr>
              <w:spacing w:after="0"/>
              <w:rPr>
                <w:sz w:val="20"/>
              </w:rPr>
            </w:pPr>
            <w:hyperlink r:id="rId10" w:history="1">
              <w:r w:rsidR="000349F4" w:rsidRPr="00BD71B6">
                <w:rPr>
                  <w:rStyle w:val="Hyperlink"/>
                  <w:color w:val="auto"/>
                  <w:u w:val="none"/>
                </w:rPr>
                <w:t>sam.hoare@pharmechanics.com</w:t>
              </w:r>
            </w:hyperlink>
          </w:p>
        </w:tc>
        <w:tc>
          <w:tcPr>
            <w:tcW w:w="1260" w:type="dxa"/>
            <w:tcBorders>
              <w:top w:val="nil"/>
              <w:left w:val="nil"/>
              <w:bottom w:val="single" w:sz="4" w:space="0" w:color="auto"/>
              <w:right w:val="nil"/>
            </w:tcBorders>
            <w:vAlign w:val="center"/>
          </w:tcPr>
          <w:p w14:paraId="625CF923" w14:textId="3C3736C9" w:rsidR="006646D6" w:rsidRDefault="000349F4" w:rsidP="006646D6">
            <w:pPr>
              <w:spacing w:after="0"/>
              <w:rPr>
                <w:sz w:val="20"/>
              </w:rPr>
            </w:pPr>
            <w:r>
              <w:rPr>
                <w:sz w:val="20"/>
              </w:rPr>
              <w:t>Yes</w:t>
            </w:r>
          </w:p>
        </w:tc>
        <w:tc>
          <w:tcPr>
            <w:tcW w:w="1620" w:type="dxa"/>
            <w:tcBorders>
              <w:top w:val="nil"/>
              <w:left w:val="nil"/>
              <w:bottom w:val="single" w:sz="4" w:space="0" w:color="auto"/>
              <w:right w:val="nil"/>
            </w:tcBorders>
            <w:vAlign w:val="center"/>
          </w:tcPr>
          <w:p w14:paraId="23CE9280" w14:textId="77777777" w:rsidR="006646D6" w:rsidRDefault="006646D6" w:rsidP="006646D6">
            <w:pPr>
              <w:spacing w:after="0"/>
              <w:rPr>
                <w:sz w:val="20"/>
              </w:rPr>
            </w:pPr>
          </w:p>
        </w:tc>
      </w:tr>
      <w:tr w:rsidR="006646D6" w14:paraId="22D2EA44" w14:textId="77777777" w:rsidTr="006646D6">
        <w:trPr>
          <w:trHeight w:val="432"/>
        </w:trPr>
        <w:tc>
          <w:tcPr>
            <w:tcW w:w="1561" w:type="dxa"/>
            <w:tcBorders>
              <w:top w:val="nil"/>
              <w:left w:val="nil"/>
              <w:bottom w:val="single" w:sz="4" w:space="0" w:color="auto"/>
              <w:right w:val="nil"/>
            </w:tcBorders>
            <w:vAlign w:val="center"/>
          </w:tcPr>
          <w:p w14:paraId="429CD426" w14:textId="77777777" w:rsidR="006646D6" w:rsidRDefault="006646D6" w:rsidP="006646D6">
            <w:pPr>
              <w:spacing w:after="0"/>
              <w:rPr>
                <w:sz w:val="20"/>
              </w:rPr>
            </w:pPr>
          </w:p>
        </w:tc>
        <w:tc>
          <w:tcPr>
            <w:tcW w:w="1184" w:type="dxa"/>
            <w:tcBorders>
              <w:top w:val="nil"/>
              <w:left w:val="nil"/>
              <w:bottom w:val="single" w:sz="4" w:space="0" w:color="auto"/>
              <w:right w:val="nil"/>
            </w:tcBorders>
            <w:vAlign w:val="center"/>
          </w:tcPr>
          <w:p w14:paraId="15839CC2" w14:textId="77777777" w:rsidR="006646D6" w:rsidRDefault="006646D6" w:rsidP="006646D6">
            <w:pPr>
              <w:spacing w:after="0"/>
              <w:rPr>
                <w:sz w:val="20"/>
              </w:rPr>
            </w:pPr>
          </w:p>
        </w:tc>
        <w:tc>
          <w:tcPr>
            <w:tcW w:w="837" w:type="dxa"/>
            <w:tcBorders>
              <w:top w:val="nil"/>
              <w:left w:val="nil"/>
              <w:bottom w:val="single" w:sz="4" w:space="0" w:color="auto"/>
              <w:right w:val="nil"/>
            </w:tcBorders>
            <w:vAlign w:val="center"/>
          </w:tcPr>
          <w:p w14:paraId="752187FA" w14:textId="77777777" w:rsidR="006646D6" w:rsidRDefault="006646D6" w:rsidP="006646D6">
            <w:pPr>
              <w:spacing w:after="0"/>
              <w:rPr>
                <w:sz w:val="20"/>
              </w:rPr>
            </w:pPr>
          </w:p>
        </w:tc>
        <w:tc>
          <w:tcPr>
            <w:tcW w:w="990" w:type="dxa"/>
            <w:tcBorders>
              <w:top w:val="nil"/>
              <w:left w:val="nil"/>
              <w:bottom w:val="single" w:sz="4" w:space="0" w:color="auto"/>
              <w:right w:val="nil"/>
            </w:tcBorders>
            <w:vAlign w:val="center"/>
          </w:tcPr>
          <w:p w14:paraId="226A894B" w14:textId="77777777" w:rsidR="006646D6" w:rsidRDefault="006646D6" w:rsidP="006646D6">
            <w:pPr>
              <w:spacing w:after="0"/>
              <w:rPr>
                <w:sz w:val="20"/>
              </w:rPr>
            </w:pPr>
          </w:p>
        </w:tc>
        <w:tc>
          <w:tcPr>
            <w:tcW w:w="1080" w:type="dxa"/>
            <w:tcBorders>
              <w:top w:val="nil"/>
              <w:left w:val="nil"/>
              <w:bottom w:val="single" w:sz="4" w:space="0" w:color="auto"/>
              <w:right w:val="nil"/>
            </w:tcBorders>
            <w:vAlign w:val="center"/>
          </w:tcPr>
          <w:p w14:paraId="6C21C54E" w14:textId="77777777" w:rsidR="006646D6" w:rsidRDefault="006646D6" w:rsidP="006646D6">
            <w:pPr>
              <w:spacing w:after="0"/>
              <w:rPr>
                <w:sz w:val="20"/>
              </w:rPr>
            </w:pPr>
          </w:p>
        </w:tc>
        <w:tc>
          <w:tcPr>
            <w:tcW w:w="1440" w:type="dxa"/>
            <w:tcBorders>
              <w:top w:val="nil"/>
              <w:left w:val="nil"/>
              <w:bottom w:val="single" w:sz="4" w:space="0" w:color="auto"/>
              <w:right w:val="nil"/>
            </w:tcBorders>
            <w:vAlign w:val="center"/>
          </w:tcPr>
          <w:p w14:paraId="669B30FA" w14:textId="77777777" w:rsidR="006646D6" w:rsidRDefault="006646D6" w:rsidP="006646D6">
            <w:pPr>
              <w:spacing w:after="0"/>
              <w:rPr>
                <w:sz w:val="20"/>
              </w:rPr>
            </w:pPr>
          </w:p>
        </w:tc>
        <w:tc>
          <w:tcPr>
            <w:tcW w:w="1260" w:type="dxa"/>
            <w:tcBorders>
              <w:top w:val="nil"/>
              <w:left w:val="nil"/>
              <w:bottom w:val="single" w:sz="4" w:space="0" w:color="auto"/>
              <w:right w:val="nil"/>
            </w:tcBorders>
            <w:vAlign w:val="center"/>
          </w:tcPr>
          <w:p w14:paraId="6AB2D989" w14:textId="77777777" w:rsidR="006646D6" w:rsidRDefault="006646D6" w:rsidP="006646D6">
            <w:pPr>
              <w:spacing w:after="0"/>
              <w:rPr>
                <w:sz w:val="20"/>
              </w:rPr>
            </w:pPr>
          </w:p>
        </w:tc>
        <w:tc>
          <w:tcPr>
            <w:tcW w:w="1620" w:type="dxa"/>
            <w:tcBorders>
              <w:top w:val="nil"/>
              <w:left w:val="nil"/>
              <w:bottom w:val="single" w:sz="4" w:space="0" w:color="auto"/>
              <w:right w:val="nil"/>
            </w:tcBorders>
            <w:vAlign w:val="center"/>
          </w:tcPr>
          <w:p w14:paraId="6A503A21" w14:textId="77777777" w:rsidR="006646D6" w:rsidRDefault="006646D6" w:rsidP="006646D6">
            <w:pPr>
              <w:spacing w:after="0"/>
              <w:rPr>
                <w:sz w:val="20"/>
              </w:rPr>
            </w:pPr>
          </w:p>
        </w:tc>
      </w:tr>
      <w:tr w:rsidR="006646D6" w14:paraId="34C1DAB0" w14:textId="77777777" w:rsidTr="006646D6">
        <w:trPr>
          <w:trHeight w:val="432"/>
        </w:trPr>
        <w:tc>
          <w:tcPr>
            <w:tcW w:w="1561" w:type="dxa"/>
            <w:tcBorders>
              <w:top w:val="single" w:sz="4" w:space="0" w:color="auto"/>
              <w:left w:val="nil"/>
              <w:bottom w:val="single" w:sz="4" w:space="0" w:color="auto"/>
              <w:right w:val="nil"/>
            </w:tcBorders>
            <w:vAlign w:val="center"/>
          </w:tcPr>
          <w:p w14:paraId="10720A39" w14:textId="77777777" w:rsidR="006646D6" w:rsidRDefault="006646D6" w:rsidP="006646D6">
            <w:pPr>
              <w:spacing w:after="0"/>
              <w:rPr>
                <w:sz w:val="20"/>
              </w:rPr>
            </w:pPr>
          </w:p>
        </w:tc>
        <w:tc>
          <w:tcPr>
            <w:tcW w:w="1184" w:type="dxa"/>
            <w:tcBorders>
              <w:top w:val="single" w:sz="4" w:space="0" w:color="auto"/>
              <w:left w:val="nil"/>
              <w:bottom w:val="single" w:sz="4" w:space="0" w:color="auto"/>
              <w:right w:val="nil"/>
            </w:tcBorders>
            <w:vAlign w:val="center"/>
          </w:tcPr>
          <w:p w14:paraId="01FEE62E" w14:textId="77777777" w:rsidR="006646D6" w:rsidRDefault="006646D6" w:rsidP="006646D6">
            <w:pPr>
              <w:spacing w:after="0"/>
              <w:rPr>
                <w:sz w:val="20"/>
              </w:rPr>
            </w:pPr>
          </w:p>
        </w:tc>
        <w:tc>
          <w:tcPr>
            <w:tcW w:w="837" w:type="dxa"/>
            <w:tcBorders>
              <w:top w:val="single" w:sz="4" w:space="0" w:color="auto"/>
              <w:left w:val="nil"/>
              <w:bottom w:val="single" w:sz="4" w:space="0" w:color="auto"/>
              <w:right w:val="nil"/>
            </w:tcBorders>
            <w:vAlign w:val="center"/>
          </w:tcPr>
          <w:p w14:paraId="2AD13267" w14:textId="77777777" w:rsidR="006646D6" w:rsidRDefault="006646D6" w:rsidP="006646D6">
            <w:pPr>
              <w:spacing w:after="0"/>
              <w:rPr>
                <w:sz w:val="20"/>
              </w:rPr>
            </w:pPr>
          </w:p>
        </w:tc>
        <w:tc>
          <w:tcPr>
            <w:tcW w:w="990" w:type="dxa"/>
            <w:tcBorders>
              <w:top w:val="single" w:sz="4" w:space="0" w:color="auto"/>
              <w:left w:val="nil"/>
              <w:bottom w:val="single" w:sz="4" w:space="0" w:color="auto"/>
              <w:right w:val="nil"/>
            </w:tcBorders>
            <w:vAlign w:val="center"/>
          </w:tcPr>
          <w:p w14:paraId="36875C08" w14:textId="77777777" w:rsidR="006646D6" w:rsidRDefault="006646D6" w:rsidP="006646D6">
            <w:pPr>
              <w:spacing w:after="0"/>
              <w:rPr>
                <w:sz w:val="20"/>
              </w:rPr>
            </w:pPr>
          </w:p>
        </w:tc>
        <w:tc>
          <w:tcPr>
            <w:tcW w:w="1080" w:type="dxa"/>
            <w:tcBorders>
              <w:top w:val="single" w:sz="4" w:space="0" w:color="auto"/>
              <w:left w:val="nil"/>
              <w:bottom w:val="single" w:sz="4" w:space="0" w:color="auto"/>
              <w:right w:val="nil"/>
            </w:tcBorders>
            <w:vAlign w:val="center"/>
          </w:tcPr>
          <w:p w14:paraId="01E27BBF" w14:textId="77777777" w:rsidR="006646D6" w:rsidRDefault="006646D6" w:rsidP="006646D6">
            <w:pPr>
              <w:spacing w:after="0"/>
              <w:rPr>
                <w:sz w:val="20"/>
              </w:rPr>
            </w:pPr>
          </w:p>
        </w:tc>
        <w:tc>
          <w:tcPr>
            <w:tcW w:w="1440" w:type="dxa"/>
            <w:tcBorders>
              <w:top w:val="single" w:sz="4" w:space="0" w:color="auto"/>
              <w:left w:val="nil"/>
              <w:bottom w:val="single" w:sz="4" w:space="0" w:color="auto"/>
              <w:right w:val="nil"/>
            </w:tcBorders>
            <w:vAlign w:val="center"/>
          </w:tcPr>
          <w:p w14:paraId="68B203E2" w14:textId="77777777" w:rsidR="006646D6" w:rsidRDefault="006646D6" w:rsidP="006646D6">
            <w:pPr>
              <w:spacing w:after="0"/>
              <w:rPr>
                <w:sz w:val="20"/>
              </w:rPr>
            </w:pPr>
          </w:p>
        </w:tc>
        <w:tc>
          <w:tcPr>
            <w:tcW w:w="1260" w:type="dxa"/>
            <w:tcBorders>
              <w:top w:val="single" w:sz="4" w:space="0" w:color="auto"/>
              <w:left w:val="nil"/>
              <w:bottom w:val="single" w:sz="4" w:space="0" w:color="auto"/>
              <w:right w:val="nil"/>
            </w:tcBorders>
            <w:vAlign w:val="center"/>
          </w:tcPr>
          <w:p w14:paraId="104BE979" w14:textId="77777777" w:rsidR="006646D6" w:rsidRDefault="006646D6" w:rsidP="006646D6">
            <w:pPr>
              <w:spacing w:after="0"/>
              <w:rPr>
                <w:sz w:val="20"/>
              </w:rPr>
            </w:pPr>
          </w:p>
        </w:tc>
        <w:tc>
          <w:tcPr>
            <w:tcW w:w="1620" w:type="dxa"/>
            <w:tcBorders>
              <w:top w:val="single" w:sz="4" w:space="0" w:color="auto"/>
              <w:left w:val="nil"/>
              <w:bottom w:val="single" w:sz="4" w:space="0" w:color="auto"/>
              <w:right w:val="nil"/>
            </w:tcBorders>
            <w:vAlign w:val="center"/>
          </w:tcPr>
          <w:p w14:paraId="4B486E72" w14:textId="77777777" w:rsidR="006646D6" w:rsidRDefault="006646D6" w:rsidP="006646D6">
            <w:pPr>
              <w:spacing w:after="0"/>
              <w:rPr>
                <w:sz w:val="20"/>
              </w:rPr>
            </w:pPr>
          </w:p>
        </w:tc>
      </w:tr>
    </w:tbl>
    <w:p w14:paraId="0BEF7286" w14:textId="77777777" w:rsidR="006646D6" w:rsidRDefault="006646D6" w:rsidP="006646D6">
      <w:pPr>
        <w:pStyle w:val="Comment"/>
      </w:pPr>
      <w:r>
        <w:t>Use one row for each author. List authors in order of appearance in the document. Add rows to add more authors.</w:t>
      </w:r>
      <w:r w:rsidRPr="00486344">
        <w:t xml:space="preserve"> For institutional author, enter the name of the institution in the Given Name(s) column.</w:t>
      </w:r>
    </w:p>
    <w:p w14:paraId="7C093752" w14:textId="77777777" w:rsidR="006646D6" w:rsidRPr="00C80605" w:rsidRDefault="006646D6" w:rsidP="006646D6"/>
    <w:tbl>
      <w:tblPr>
        <w:tblW w:w="10188" w:type="dxa"/>
        <w:tblInd w:w="108" w:type="dxa"/>
        <w:tblLook w:val="0020" w:firstRow="1" w:lastRow="0" w:firstColumn="0" w:lastColumn="0" w:noHBand="0" w:noVBand="0"/>
      </w:tblPr>
      <w:tblGrid>
        <w:gridCol w:w="2124"/>
        <w:gridCol w:w="8064"/>
      </w:tblGrid>
      <w:tr w:rsidR="006646D6" w:rsidRPr="00C80605" w14:paraId="6FE700CF" w14:textId="77777777" w:rsidTr="006646D6">
        <w:trPr>
          <w:cantSplit/>
          <w:trHeight w:val="432"/>
        </w:trPr>
        <w:tc>
          <w:tcPr>
            <w:tcW w:w="10188" w:type="dxa"/>
            <w:gridSpan w:val="2"/>
            <w:tcBorders>
              <w:top w:val="nil"/>
              <w:left w:val="nil"/>
              <w:bottom w:val="single" w:sz="12" w:space="0" w:color="990000"/>
              <w:right w:val="nil"/>
            </w:tcBorders>
            <w:shd w:val="clear" w:color="auto" w:fill="E6E6E6"/>
            <w:vAlign w:val="center"/>
          </w:tcPr>
          <w:p w14:paraId="089C5149" w14:textId="77777777" w:rsidR="006646D6" w:rsidRPr="00C80605" w:rsidRDefault="006646D6" w:rsidP="006646D6">
            <w:pPr>
              <w:spacing w:after="0"/>
              <w:rPr>
                <w:b/>
                <w:sz w:val="20"/>
              </w:rPr>
            </w:pPr>
            <w:r w:rsidRPr="00C80605">
              <w:rPr>
                <w:b/>
                <w:sz w:val="20"/>
              </w:rPr>
              <w:t>Affiliations</w:t>
            </w:r>
          </w:p>
        </w:tc>
      </w:tr>
      <w:tr w:rsidR="006646D6" w:rsidRPr="00C80605" w14:paraId="38C6DC86" w14:textId="77777777" w:rsidTr="006646D6">
        <w:trPr>
          <w:trHeight w:val="432"/>
        </w:trPr>
        <w:tc>
          <w:tcPr>
            <w:tcW w:w="2124" w:type="dxa"/>
            <w:tcBorders>
              <w:top w:val="nil"/>
              <w:left w:val="nil"/>
              <w:bottom w:val="single" w:sz="4" w:space="0" w:color="auto"/>
              <w:right w:val="nil"/>
            </w:tcBorders>
            <w:vAlign w:val="bottom"/>
          </w:tcPr>
          <w:p w14:paraId="0C16F43F" w14:textId="77777777" w:rsidR="006646D6" w:rsidRPr="00C80605" w:rsidRDefault="006646D6" w:rsidP="006646D6">
            <w:pPr>
              <w:spacing w:after="0"/>
              <w:rPr>
                <w:sz w:val="20"/>
              </w:rPr>
            </w:pPr>
            <w:r w:rsidRPr="00C80605">
              <w:rPr>
                <w:sz w:val="20"/>
              </w:rPr>
              <w:t>Label</w:t>
            </w:r>
          </w:p>
        </w:tc>
        <w:tc>
          <w:tcPr>
            <w:tcW w:w="8064" w:type="dxa"/>
            <w:tcBorders>
              <w:top w:val="nil"/>
              <w:left w:val="nil"/>
              <w:bottom w:val="single" w:sz="4" w:space="0" w:color="auto"/>
              <w:right w:val="nil"/>
            </w:tcBorders>
            <w:vAlign w:val="bottom"/>
          </w:tcPr>
          <w:p w14:paraId="67A4CFDA" w14:textId="77777777" w:rsidR="006646D6" w:rsidRPr="00C80605" w:rsidRDefault="006646D6" w:rsidP="006646D6">
            <w:pPr>
              <w:spacing w:after="0"/>
              <w:rPr>
                <w:sz w:val="20"/>
              </w:rPr>
            </w:pPr>
            <w:r w:rsidRPr="00C80605">
              <w:rPr>
                <w:sz w:val="20"/>
              </w:rPr>
              <w:t>Organization</w:t>
            </w:r>
          </w:p>
        </w:tc>
      </w:tr>
      <w:tr w:rsidR="006646D6" w:rsidRPr="00C80605" w14:paraId="136D6E87" w14:textId="77777777" w:rsidTr="006646D6">
        <w:trPr>
          <w:trHeight w:val="432"/>
        </w:trPr>
        <w:tc>
          <w:tcPr>
            <w:tcW w:w="2124" w:type="dxa"/>
            <w:tcBorders>
              <w:top w:val="nil"/>
              <w:left w:val="nil"/>
              <w:bottom w:val="single" w:sz="4" w:space="0" w:color="auto"/>
              <w:right w:val="nil"/>
            </w:tcBorders>
            <w:vAlign w:val="center"/>
          </w:tcPr>
          <w:p w14:paraId="4006E3F6" w14:textId="2376E9C4" w:rsidR="006646D6" w:rsidRPr="00C80605" w:rsidRDefault="000349F4" w:rsidP="006646D6">
            <w:pPr>
              <w:spacing w:after="0"/>
              <w:rPr>
                <w:sz w:val="20"/>
              </w:rPr>
            </w:pPr>
            <w:r>
              <w:rPr>
                <w:sz w:val="20"/>
              </w:rPr>
              <w:t>1</w:t>
            </w:r>
          </w:p>
        </w:tc>
        <w:tc>
          <w:tcPr>
            <w:tcW w:w="8064" w:type="dxa"/>
            <w:tcBorders>
              <w:top w:val="nil"/>
              <w:left w:val="nil"/>
              <w:bottom w:val="single" w:sz="4" w:space="0" w:color="auto"/>
              <w:right w:val="nil"/>
            </w:tcBorders>
            <w:vAlign w:val="center"/>
          </w:tcPr>
          <w:p w14:paraId="636421B1" w14:textId="264440CE" w:rsidR="006646D6" w:rsidRPr="00C80605" w:rsidRDefault="000349F4" w:rsidP="006646D6">
            <w:pPr>
              <w:spacing w:after="0"/>
              <w:rPr>
                <w:sz w:val="20"/>
              </w:rPr>
            </w:pPr>
            <w:proofErr w:type="spellStart"/>
            <w:r>
              <w:t>Pharmechanics</w:t>
            </w:r>
            <w:proofErr w:type="spellEnd"/>
            <w:r>
              <w:t>, LLC</w:t>
            </w:r>
          </w:p>
        </w:tc>
      </w:tr>
      <w:tr w:rsidR="006646D6" w:rsidRPr="00C80605" w14:paraId="19E8DC59" w14:textId="77777777" w:rsidTr="006646D6">
        <w:trPr>
          <w:trHeight w:val="432"/>
        </w:trPr>
        <w:tc>
          <w:tcPr>
            <w:tcW w:w="2124" w:type="dxa"/>
            <w:tcBorders>
              <w:top w:val="nil"/>
              <w:left w:val="nil"/>
              <w:bottom w:val="single" w:sz="4" w:space="0" w:color="auto"/>
              <w:right w:val="nil"/>
            </w:tcBorders>
            <w:vAlign w:val="center"/>
          </w:tcPr>
          <w:p w14:paraId="6835E1BF" w14:textId="77777777" w:rsidR="006646D6" w:rsidRPr="00C80605" w:rsidRDefault="006646D6" w:rsidP="006646D6">
            <w:pPr>
              <w:spacing w:after="0"/>
              <w:rPr>
                <w:sz w:val="20"/>
              </w:rPr>
            </w:pPr>
          </w:p>
        </w:tc>
        <w:tc>
          <w:tcPr>
            <w:tcW w:w="8064" w:type="dxa"/>
            <w:tcBorders>
              <w:top w:val="nil"/>
              <w:left w:val="nil"/>
              <w:bottom w:val="single" w:sz="4" w:space="0" w:color="auto"/>
              <w:right w:val="nil"/>
            </w:tcBorders>
            <w:vAlign w:val="center"/>
          </w:tcPr>
          <w:p w14:paraId="762238C5" w14:textId="77777777" w:rsidR="006646D6" w:rsidRPr="00C80605" w:rsidRDefault="006646D6" w:rsidP="006646D6">
            <w:pPr>
              <w:spacing w:after="0"/>
              <w:rPr>
                <w:sz w:val="20"/>
              </w:rPr>
            </w:pPr>
          </w:p>
        </w:tc>
      </w:tr>
      <w:tr w:rsidR="006646D6" w:rsidRPr="00C80605" w14:paraId="0BB08499" w14:textId="77777777" w:rsidTr="006646D6">
        <w:trPr>
          <w:trHeight w:val="432"/>
        </w:trPr>
        <w:tc>
          <w:tcPr>
            <w:tcW w:w="2124" w:type="dxa"/>
            <w:tcBorders>
              <w:top w:val="single" w:sz="4" w:space="0" w:color="auto"/>
              <w:left w:val="nil"/>
              <w:bottom w:val="single" w:sz="4" w:space="0" w:color="auto"/>
              <w:right w:val="nil"/>
            </w:tcBorders>
            <w:vAlign w:val="center"/>
          </w:tcPr>
          <w:p w14:paraId="155A02B3" w14:textId="77777777" w:rsidR="006646D6" w:rsidRPr="00C80605" w:rsidRDefault="006646D6" w:rsidP="006646D6">
            <w:pPr>
              <w:spacing w:after="0"/>
              <w:rPr>
                <w:sz w:val="20"/>
              </w:rPr>
            </w:pPr>
          </w:p>
        </w:tc>
        <w:tc>
          <w:tcPr>
            <w:tcW w:w="8064" w:type="dxa"/>
            <w:tcBorders>
              <w:top w:val="single" w:sz="4" w:space="0" w:color="auto"/>
              <w:left w:val="nil"/>
              <w:bottom w:val="single" w:sz="4" w:space="0" w:color="auto"/>
              <w:right w:val="nil"/>
            </w:tcBorders>
            <w:vAlign w:val="center"/>
          </w:tcPr>
          <w:p w14:paraId="392641A1" w14:textId="77777777" w:rsidR="006646D6" w:rsidRPr="00C80605" w:rsidRDefault="006646D6" w:rsidP="006646D6">
            <w:pPr>
              <w:spacing w:after="0"/>
              <w:rPr>
                <w:sz w:val="20"/>
              </w:rPr>
            </w:pPr>
          </w:p>
        </w:tc>
      </w:tr>
      <w:tr w:rsidR="006646D6" w:rsidRPr="00C80605" w14:paraId="788F7D8C" w14:textId="77777777" w:rsidTr="006646D6">
        <w:trPr>
          <w:trHeight w:val="432"/>
        </w:trPr>
        <w:tc>
          <w:tcPr>
            <w:tcW w:w="2124" w:type="dxa"/>
            <w:tcBorders>
              <w:top w:val="single" w:sz="4" w:space="0" w:color="auto"/>
              <w:left w:val="nil"/>
              <w:bottom w:val="single" w:sz="4" w:space="0" w:color="auto"/>
              <w:right w:val="nil"/>
            </w:tcBorders>
            <w:vAlign w:val="center"/>
          </w:tcPr>
          <w:p w14:paraId="0DDBA386" w14:textId="77777777" w:rsidR="006646D6" w:rsidRPr="00C80605" w:rsidRDefault="006646D6" w:rsidP="006646D6">
            <w:pPr>
              <w:spacing w:after="0"/>
              <w:rPr>
                <w:sz w:val="20"/>
              </w:rPr>
            </w:pPr>
          </w:p>
        </w:tc>
        <w:tc>
          <w:tcPr>
            <w:tcW w:w="8064" w:type="dxa"/>
            <w:tcBorders>
              <w:top w:val="single" w:sz="4" w:space="0" w:color="auto"/>
              <w:left w:val="nil"/>
              <w:bottom w:val="single" w:sz="4" w:space="0" w:color="auto"/>
              <w:right w:val="nil"/>
            </w:tcBorders>
            <w:vAlign w:val="center"/>
          </w:tcPr>
          <w:p w14:paraId="3E1CF929" w14:textId="77777777" w:rsidR="006646D6" w:rsidRPr="00C80605" w:rsidRDefault="006646D6" w:rsidP="006646D6">
            <w:pPr>
              <w:spacing w:after="0"/>
              <w:rPr>
                <w:sz w:val="20"/>
              </w:rPr>
            </w:pPr>
          </w:p>
        </w:tc>
      </w:tr>
    </w:tbl>
    <w:p w14:paraId="33D05407" w14:textId="77777777" w:rsidR="006646D6" w:rsidRPr="00C80605" w:rsidRDefault="006646D6" w:rsidP="006646D6">
      <w:pPr>
        <w:pStyle w:val="Comment"/>
      </w:pPr>
      <w:r w:rsidRPr="00C80605">
        <w:t>Use one row for each affiliation. Link affiliations by label to the respective author. Add rows to add more affiliations.</w:t>
      </w:r>
    </w:p>
    <w:p w14:paraId="5A34673C" w14:textId="77777777" w:rsidR="006646D6" w:rsidRDefault="006646D6" w:rsidP="006646D6"/>
    <w:p w14:paraId="276948B5" w14:textId="77777777" w:rsidR="006646D6" w:rsidRPr="00486344" w:rsidRDefault="006646D6" w:rsidP="006646D6"/>
    <w:p w14:paraId="0D170E6A" w14:textId="77777777" w:rsidR="006646D6" w:rsidRDefault="006646D6" w:rsidP="006646D6">
      <w:pPr>
        <w:sectPr w:rsidR="006646D6" w:rsidSect="006646D6">
          <w:pgSz w:w="12240" w:h="15840" w:code="1"/>
          <w:pgMar w:top="1080" w:right="1080" w:bottom="1080" w:left="1080" w:header="0" w:footer="0" w:gutter="0"/>
          <w:cols w:space="720"/>
          <w:docGrid w:linePitch="326"/>
        </w:sectPr>
      </w:pPr>
    </w:p>
    <w:p w14:paraId="4890B6FF" w14:textId="77777777" w:rsidR="006646D6" w:rsidRDefault="006646D6" w:rsidP="006646D6"/>
    <w:p w14:paraId="72C94134" w14:textId="77777777" w:rsidR="006646D6" w:rsidRDefault="006646D6" w:rsidP="006646D6"/>
    <w:p w14:paraId="2DD76FAA" w14:textId="77777777" w:rsidR="006646D6" w:rsidRDefault="006646D6" w:rsidP="006646D6"/>
    <w:p w14:paraId="3CE38554" w14:textId="77777777" w:rsidR="006646D6" w:rsidRPr="009256D4" w:rsidRDefault="006646D6" w:rsidP="006646D6"/>
    <w:p w14:paraId="7F7EC6AC" w14:textId="77777777" w:rsidR="006646D6" w:rsidRPr="009256D4" w:rsidRDefault="006646D6" w:rsidP="006646D6">
      <w:pPr>
        <w:sectPr w:rsidR="006646D6" w:rsidRPr="009256D4" w:rsidSect="006646D6">
          <w:type w:val="continuous"/>
          <w:pgSz w:w="12240" w:h="15840" w:code="1"/>
          <w:pgMar w:top="1080" w:right="1080" w:bottom="1080" w:left="1080" w:header="0" w:footer="0" w:gutter="0"/>
          <w:cols w:space="720"/>
          <w:docGrid w:linePitch="326"/>
        </w:sectPr>
      </w:pPr>
    </w:p>
    <w:p w14:paraId="3DF6FC78" w14:textId="77777777" w:rsidR="006646D6" w:rsidRDefault="006646D6" w:rsidP="006646D6"/>
    <w:p w14:paraId="308314CF" w14:textId="17698146" w:rsidR="00783AA0" w:rsidRPr="006507E2" w:rsidRDefault="000349F4" w:rsidP="00D025E3">
      <w:pPr>
        <w:pStyle w:val="Heading1"/>
      </w:pPr>
      <w:r>
        <w:t>Analyzing Kinetic Binding D</w:t>
      </w:r>
      <w:r w:rsidR="00BD71B6" w:rsidRPr="006507E2">
        <w:t>ata</w:t>
      </w:r>
    </w:p>
    <w:p w14:paraId="5FD382DE" w14:textId="77777777" w:rsidR="00BD71B6" w:rsidRDefault="00BD71B6" w:rsidP="000349F4">
      <w:pPr>
        <w:pStyle w:val="AbstractHeader"/>
      </w:pPr>
      <w:r w:rsidRPr="00BD71B6">
        <w:t>Abstract</w:t>
      </w:r>
    </w:p>
    <w:p w14:paraId="4E1B6310" w14:textId="663227A1" w:rsidR="0011715A" w:rsidRDefault="00BD71B6" w:rsidP="000349F4">
      <w:pPr>
        <w:pStyle w:val="Abstract"/>
      </w:pPr>
      <w:r>
        <w:tab/>
        <w:t xml:space="preserve">Biological and therapeutic </w:t>
      </w:r>
      <w:r w:rsidR="00CA2C54">
        <w:t>agents</w:t>
      </w:r>
      <w:r>
        <w:t xml:space="preserve"> exert their actions by interacting with </w:t>
      </w:r>
      <w:r w:rsidR="00CA2C54">
        <w:t xml:space="preserve">specific </w:t>
      </w:r>
      <w:r>
        <w:t xml:space="preserve">molecular </w:t>
      </w:r>
      <w:r w:rsidR="00CA2C54">
        <w:t xml:space="preserve">targets. This process of ligand binding takes time, </w:t>
      </w:r>
      <w:r>
        <w:t xml:space="preserve">for the ligand to </w:t>
      </w:r>
      <w:r w:rsidR="00CA2C54">
        <w:t>associate</w:t>
      </w:r>
      <w:r>
        <w:t xml:space="preserve"> with the target, forming the </w:t>
      </w:r>
      <w:r w:rsidR="00FC70D1">
        <w:t>target-ligand</w:t>
      </w:r>
      <w:r>
        <w:t xml:space="preserve"> </w:t>
      </w:r>
      <w:r w:rsidR="00CA2C54">
        <w:t>complex, and for the complex to break down.</w:t>
      </w:r>
      <w:r w:rsidR="0011715A">
        <w:t xml:space="preserve"> These processes are quantified by the </w:t>
      </w:r>
      <w:r w:rsidR="00CA2C54">
        <w:t>association and dissociation rate constants</w:t>
      </w:r>
      <w:r w:rsidR="0011715A">
        <w:t xml:space="preserve">. </w:t>
      </w:r>
      <w:r w:rsidR="008853B1">
        <w:t>Knowledge of</w:t>
      </w:r>
      <w:r w:rsidR="00800152">
        <w:t xml:space="preserve"> the</w:t>
      </w:r>
      <w:r w:rsidR="008853B1">
        <w:t>se rates</w:t>
      </w:r>
      <w:r w:rsidR="00800152">
        <w:t xml:space="preserve"> can be important in the optimization of new therapeutics and in understanding the biological behavior of target proteins.</w:t>
      </w:r>
      <w:r w:rsidR="0011715A">
        <w:t xml:space="preserve"> Experimentally the rates are determined by measuring the time course of test compound binding to the target, directly or indirectly. This chapter describes how </w:t>
      </w:r>
      <w:r w:rsidR="009E07C2">
        <w:t>to</w:t>
      </w:r>
      <w:r w:rsidR="0011715A">
        <w:t xml:space="preserve"> analyze these time course data to determine the binding kinetic rate constant values. Data are </w:t>
      </w:r>
      <w:r w:rsidR="00ED345B">
        <w:t xml:space="preserve">analyzed </w:t>
      </w:r>
      <w:r w:rsidR="0011715A">
        <w:t xml:space="preserve">by curve fitting using familiar </w:t>
      </w:r>
      <w:r w:rsidR="002C6279">
        <w:t xml:space="preserve">nonlinear regression </w:t>
      </w:r>
      <w:r w:rsidR="0011715A">
        <w:t xml:space="preserve">data analysis programs (exemplified here with Prism from </w:t>
      </w:r>
      <w:proofErr w:type="spellStart"/>
      <w:r w:rsidR="0011715A">
        <w:t>GraphPad</w:t>
      </w:r>
      <w:proofErr w:type="spellEnd"/>
      <w:r w:rsidR="0011715A">
        <w:t xml:space="preserve"> Software).</w:t>
      </w:r>
      <w:r w:rsidR="00782753">
        <w:t xml:space="preserve"> The concepts are introduced using simple, direct </w:t>
      </w:r>
      <w:r w:rsidR="00FC70D1">
        <w:t>target-ligand</w:t>
      </w:r>
      <w:r w:rsidR="00782753">
        <w:t xml:space="preserve"> binding </w:t>
      </w:r>
      <w:r w:rsidR="00885756">
        <w:t>assays</w:t>
      </w:r>
      <w:r w:rsidR="00782753">
        <w:t>.</w:t>
      </w:r>
      <w:r w:rsidR="0011715A">
        <w:t xml:space="preserve"> </w:t>
      </w:r>
      <w:r w:rsidR="00782753">
        <w:t>Recently, i</w:t>
      </w:r>
      <w:r w:rsidR="00A51D8B">
        <w:t xml:space="preserve">ndirect competition binding methods </w:t>
      </w:r>
      <w:r w:rsidR="00782753">
        <w:t xml:space="preserve">have become popular for </w:t>
      </w:r>
      <w:r w:rsidR="00A51D8B">
        <w:t>evaluat</w:t>
      </w:r>
      <w:r w:rsidR="00782753">
        <w:t>ing binding kinetics of</w:t>
      </w:r>
      <w:r w:rsidR="00A51D8B">
        <w:t xml:space="preserve"> the large numbers of compounds encountered in drug discovery. Data analysis for this “Competition kinetics” approach is </w:t>
      </w:r>
      <w:r w:rsidR="009E07C2">
        <w:t>presented</w:t>
      </w:r>
      <w:r w:rsidR="00A51D8B">
        <w:t xml:space="preserve"> using a step-by-step guide</w:t>
      </w:r>
      <w:r w:rsidR="009E07C2">
        <w:t xml:space="preserve">, together with instruction on </w:t>
      </w:r>
      <w:r w:rsidR="00A51D8B">
        <w:t>troubleshooting, limits of sensitivity</w:t>
      </w:r>
      <w:r w:rsidR="009E07C2">
        <w:t xml:space="preserve"> and</w:t>
      </w:r>
      <w:r w:rsidR="00A51D8B">
        <w:t xml:space="preserve"> experimental artifact</w:t>
      </w:r>
      <w:r w:rsidR="009E07C2">
        <w:t>s. More complex scenarios are then introduced, including multistep binding interactions and the use of functional assays to quantify ligand binding kinetics.</w:t>
      </w:r>
      <w:r w:rsidR="002C6279">
        <w:t xml:space="preserve"> </w:t>
      </w:r>
      <w:r w:rsidR="00A72555">
        <w:t>By describing how to quantify ligand binding kinetics and interpret the data, this chapter enables investigators to evaluate the role of the temporal dimension of binding activity to their targets of interest.</w:t>
      </w:r>
    </w:p>
    <w:p w14:paraId="1D36339D" w14:textId="77777777" w:rsidR="009E07C2" w:rsidRDefault="009E07C2" w:rsidP="00A51D8B"/>
    <w:p w14:paraId="7C6DBF15" w14:textId="77777777" w:rsidR="0011715A" w:rsidRDefault="0011715A" w:rsidP="00800152"/>
    <w:p w14:paraId="390ED5C1" w14:textId="58B2C072" w:rsidR="00BD71B6" w:rsidRDefault="00BD71B6" w:rsidP="00800152">
      <w:pPr>
        <w:rPr>
          <w:rFonts w:asciiTheme="majorHAnsi" w:eastAsiaTheme="majorEastAsia" w:hAnsiTheme="majorHAnsi" w:cstheme="majorBidi"/>
          <w:color w:val="2F5496" w:themeColor="accent1" w:themeShade="BF"/>
          <w:sz w:val="32"/>
          <w:szCs w:val="32"/>
        </w:rPr>
      </w:pPr>
      <w:r>
        <w:br w:type="page"/>
      </w:r>
    </w:p>
    <w:p w14:paraId="0E4DFBEB" w14:textId="4E6FFB77" w:rsidR="00044FF9" w:rsidRDefault="000454AE" w:rsidP="00D025E3">
      <w:pPr>
        <w:pStyle w:val="Heading2"/>
      </w:pPr>
      <w:r>
        <w:lastRenderedPageBreak/>
        <w:t>I</w:t>
      </w:r>
      <w:r w:rsidR="00044FF9">
        <w:t>ntroduction</w:t>
      </w:r>
    </w:p>
    <w:p w14:paraId="25F7F18D" w14:textId="6677DEBD" w:rsidR="00FD19C7" w:rsidRDefault="00044FF9" w:rsidP="002F04BA">
      <w:pPr>
        <w:spacing w:before="240"/>
        <w:ind w:firstLine="720"/>
      </w:pPr>
      <w:r>
        <w:t>Therapeutic molecules exert their action by interacting with specific molecular target</w:t>
      </w:r>
      <w:r w:rsidR="00413195">
        <w:t>s</w:t>
      </w:r>
      <w:r>
        <w:t>. The first step in this binding process is the association of the drug ligand molecule with the target. Once bound, the ligand can then dissociate from the target</w:t>
      </w:r>
      <w:r w:rsidR="00FB71B5">
        <w:t xml:space="preserve"> (assuming the ligand binds reversibly and not covalently)</w:t>
      </w:r>
      <w:r>
        <w:t>. These processes take time. This temporal dimension is referred to as binding kinetics or binding dynamics</w:t>
      </w:r>
      <w:r w:rsidR="008F7599">
        <w:t xml:space="preserve"> (1</w:t>
      </w:r>
      <w:proofErr w:type="gramStart"/>
      <w:r w:rsidR="008F7599">
        <w:t>,2</w:t>
      </w:r>
      <w:proofErr w:type="gramEnd"/>
      <w:r w:rsidR="008F7599">
        <w:t>)</w:t>
      </w:r>
      <w:r>
        <w:t>. The time it takes for</w:t>
      </w:r>
      <w:r w:rsidR="00546DA7">
        <w:t xml:space="preserve"> a</w:t>
      </w:r>
      <w:r>
        <w:t xml:space="preserve"> ligand to associate with the target is governed by the association rate, which </w:t>
      </w:r>
      <w:r w:rsidR="00413195">
        <w:t>is</w:t>
      </w:r>
      <w:r>
        <w:t xml:space="preserve"> the rate of ligand recognition by the target. The time it takes the ligand to dissociate is determined by the dissociation rate, which </w:t>
      </w:r>
      <w:r w:rsidR="00413195">
        <w:t>quantifies</w:t>
      </w:r>
      <w:r>
        <w:t xml:space="preserve"> the stability of the target-ligand complex.</w:t>
      </w:r>
      <w:r w:rsidR="00FA45E0">
        <w:t xml:space="preserve"> These principles are shown using animations of the binding process in the</w:t>
      </w:r>
      <w:r w:rsidR="00FD19C7">
        <w:t xml:space="preserve"> following video.</w:t>
      </w:r>
    </w:p>
    <w:p w14:paraId="1FA8E9E1" w14:textId="45813881" w:rsidR="00FD19C7" w:rsidRDefault="00FD19C7" w:rsidP="00FD19C7">
      <w:pPr>
        <w:pStyle w:val="Figuregraphic"/>
      </w:pPr>
      <w:r>
        <w:rPr>
          <w:noProof/>
        </w:rPr>
        <w:drawing>
          <wp:inline distT="0" distB="0" distL="0" distR="0" wp14:anchorId="096198D7" wp14:editId="4AD14E30">
            <wp:extent cx="4210050" cy="35560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nding kinetics video still.jpg"/>
                    <pic:cNvPicPr/>
                  </pic:nvPicPr>
                  <pic:blipFill>
                    <a:blip r:embed="rId11">
                      <a:extLst>
                        <a:ext uri="{28A0092B-C50C-407E-A947-70E740481C1C}">
                          <a14:useLocalDpi xmlns:a14="http://schemas.microsoft.com/office/drawing/2010/main" val="0"/>
                        </a:ext>
                      </a:extLst>
                    </a:blip>
                    <a:stretch>
                      <a:fillRect/>
                    </a:stretch>
                  </pic:blipFill>
                  <pic:spPr>
                    <a:xfrm>
                      <a:off x="0" y="0"/>
                      <a:ext cx="4210050" cy="3556000"/>
                    </a:xfrm>
                    <a:prstGeom prst="rect">
                      <a:avLst/>
                    </a:prstGeom>
                  </pic:spPr>
                </pic:pic>
              </a:graphicData>
            </a:graphic>
          </wp:inline>
        </w:drawing>
      </w:r>
    </w:p>
    <w:p w14:paraId="75E4B381" w14:textId="77777777" w:rsidR="00FD19C7" w:rsidRDefault="00FD19C7" w:rsidP="00FD19C7">
      <w:pPr>
        <w:pStyle w:val="VideoInformation"/>
      </w:pPr>
      <w:proofErr w:type="gramStart"/>
      <w:r>
        <w:t>file</w:t>
      </w:r>
      <w:proofErr w:type="gramEnd"/>
      <w:r>
        <w:t xml:space="preserve">: </w:t>
      </w:r>
      <w:r w:rsidRPr="00801144">
        <w:t>Binding_kinetics_animation</w:t>
      </w:r>
      <w:r>
        <w:t>.mp4;mimetype: video</w:t>
      </w:r>
      <w:r w:rsidRPr="00DB2B24">
        <w:t xml:space="preserve"> </w:t>
      </w:r>
      <w:r w:rsidRPr="00051B1D">
        <w:t>mime-subtype: mp4</w:t>
      </w:r>
    </w:p>
    <w:p w14:paraId="60BD002C" w14:textId="61C75206" w:rsidR="00FD19C7" w:rsidRDefault="00FD19C7" w:rsidP="0072111C">
      <w:pPr>
        <w:pStyle w:val="Figurenumberandcaption"/>
      </w:pPr>
      <w:r>
        <w:t xml:space="preserve">Video 1. </w:t>
      </w:r>
      <w:r w:rsidRPr="0066292B">
        <w:t>Binding kinetics animation.</w:t>
      </w:r>
    </w:p>
    <w:p w14:paraId="7D0272FD" w14:textId="29CA6773" w:rsidR="00044FF9" w:rsidRDefault="00044FF9" w:rsidP="00FD19C7">
      <w:pPr>
        <w:spacing w:before="240"/>
      </w:pPr>
      <w:r>
        <w:t>The</w:t>
      </w:r>
      <w:r w:rsidR="00FA45E0">
        <w:t xml:space="preserve"> binding</w:t>
      </w:r>
      <w:r>
        <w:t xml:space="preserve"> rates are fundamental properties of the drug-target interaction. They can impact the therapeutic action and side effect profile of the ligand,</w:t>
      </w:r>
      <w:r w:rsidR="00425ADA">
        <w:t xml:space="preserve"> </w:t>
      </w:r>
      <w:r>
        <w:t xml:space="preserve">as described in </w:t>
      </w:r>
      <w:r w:rsidR="00370DA9">
        <w:t>numerous recent reviews</w:t>
      </w:r>
      <w:r w:rsidR="00D025E3">
        <w:t xml:space="preserve"> (1-16)</w:t>
      </w:r>
      <w:r>
        <w:t>. They also impact quantification of other drug parameters, such as affinity, resulting in erroneous estimates of activity if the rates are not considered appropriately</w:t>
      </w:r>
      <w:r w:rsidR="002F04BA">
        <w:t xml:space="preserve"> (17-19)</w:t>
      </w:r>
      <w:r>
        <w:t>.</w:t>
      </w:r>
      <w:r w:rsidR="008C5FFB">
        <w:t xml:space="preserve"> </w:t>
      </w:r>
      <w:r w:rsidR="00FB71B5">
        <w:t>U</w:t>
      </w:r>
      <w:r w:rsidR="001503F1">
        <w:t>seful introductory webinar</w:t>
      </w:r>
      <w:r w:rsidR="00FB71B5">
        <w:t>s</w:t>
      </w:r>
      <w:r w:rsidR="001503F1">
        <w:t xml:space="preserve"> </w:t>
      </w:r>
      <w:r w:rsidR="00FB71B5">
        <w:t xml:space="preserve">are </w:t>
      </w:r>
      <w:r w:rsidR="001503F1">
        <w:t xml:space="preserve">available </w:t>
      </w:r>
      <w:hyperlink r:id="rId12" w:history="1">
        <w:r w:rsidR="00C85664" w:rsidRPr="00C85664">
          <w:rPr>
            <w:rStyle w:val="Hyperlink"/>
          </w:rPr>
          <w:t>here</w:t>
        </w:r>
      </w:hyperlink>
      <w:r w:rsidR="00C85664">
        <w:t xml:space="preserve"> and </w:t>
      </w:r>
      <w:hyperlink r:id="rId13" w:history="1">
        <w:r w:rsidR="00C85664" w:rsidRPr="00C85664">
          <w:rPr>
            <w:rStyle w:val="Hyperlink"/>
          </w:rPr>
          <w:t>here</w:t>
        </w:r>
      </w:hyperlink>
      <w:r w:rsidR="00C85664">
        <w:t>.</w:t>
      </w:r>
    </w:p>
    <w:p w14:paraId="5FC34B09" w14:textId="54AF7CDA" w:rsidR="000E231D" w:rsidRDefault="00044FF9" w:rsidP="009D3BAF">
      <w:pPr>
        <w:ind w:firstLine="720"/>
      </w:pPr>
      <w:r>
        <w:t xml:space="preserve">The purpose of this chapter is to describe how to measure the kinetics of </w:t>
      </w:r>
      <w:r w:rsidR="00FC70D1">
        <w:t>target-ligand</w:t>
      </w:r>
      <w:r>
        <w:t xml:space="preserve"> interaction</w:t>
      </w:r>
      <w:r w:rsidR="00555CB4">
        <w:t>, specifically how to analyze binding kinetic data to measure the binding rate constants.</w:t>
      </w:r>
      <w:r w:rsidR="000E231D">
        <w:t xml:space="preserve"> Step-by-step analysis guides are provided, for the popular curve fitting program Prism (</w:t>
      </w:r>
      <w:proofErr w:type="spellStart"/>
      <w:r w:rsidR="000E231D">
        <w:t>GraphPad</w:t>
      </w:r>
      <w:proofErr w:type="spellEnd"/>
      <w:r w:rsidR="000E231D">
        <w:t xml:space="preserve"> Software, </w:t>
      </w:r>
      <w:proofErr w:type="spellStart"/>
      <w:r w:rsidR="000E231D">
        <w:lastRenderedPageBreak/>
        <w:t>Inc</w:t>
      </w:r>
      <w:proofErr w:type="spellEnd"/>
      <w:r w:rsidR="000E231D">
        <w:t xml:space="preserve">). </w:t>
      </w:r>
      <w:r w:rsidR="00555CB4">
        <w:t>It is assumed the investigator has in hand an assay for measuring ligand binding</w:t>
      </w:r>
      <w:r w:rsidR="00FB71B5">
        <w:t>.</w:t>
      </w:r>
      <w:r w:rsidR="00555CB4">
        <w:t xml:space="preserve"> (</w:t>
      </w:r>
      <w:r w:rsidR="00FB71B5">
        <w:t>B</w:t>
      </w:r>
      <w:r w:rsidR="00F14C42">
        <w:t xml:space="preserve">inding </w:t>
      </w:r>
      <w:r w:rsidR="00555CB4">
        <w:t>assay methods</w:t>
      </w:r>
      <w:r w:rsidR="000E231D">
        <w:t>,</w:t>
      </w:r>
      <w:r w:rsidR="00555CB4">
        <w:t xml:space="preserve"> briefly summarized </w:t>
      </w:r>
      <w:r w:rsidR="000E231D">
        <w:t xml:space="preserve">in </w:t>
      </w:r>
      <w:hyperlink w:anchor="_Basic_Principles_of" w:history="1">
        <w:r w:rsidR="00F1010E" w:rsidRPr="00F1010E">
          <w:rPr>
            <w:rStyle w:val="Hyperlink"/>
          </w:rPr>
          <w:t>Basic Principles of Ligand Binding Kinetics</w:t>
        </w:r>
      </w:hyperlink>
      <w:r w:rsidR="000E231D">
        <w:t xml:space="preserve"> and Table 1,</w:t>
      </w:r>
      <w:r w:rsidR="00555CB4">
        <w:t xml:space="preserve"> </w:t>
      </w:r>
      <w:r w:rsidR="000E231D">
        <w:t>are</w:t>
      </w:r>
      <w:r w:rsidR="00555CB4">
        <w:t xml:space="preserve"> extensively reviewed in refs</w:t>
      </w:r>
      <w:r w:rsidR="002F04BA">
        <w:t xml:space="preserve"> (15,16,20-22).</w:t>
      </w:r>
      <w:r w:rsidR="009D3BAF">
        <w:t>)</w:t>
      </w:r>
      <w:r w:rsidR="00625EC1">
        <w:t xml:space="preserve"> The chapter is organized as follows.</w:t>
      </w:r>
    </w:p>
    <w:p w14:paraId="43743EA0" w14:textId="5D9355C4" w:rsidR="000E231D" w:rsidRDefault="000E231D" w:rsidP="000E231D"/>
    <w:p w14:paraId="5654EF29" w14:textId="7A19B287" w:rsidR="000E231D" w:rsidRDefault="000E231D" w:rsidP="000E231D">
      <w:pPr>
        <w:pStyle w:val="ListParagraph"/>
        <w:numPr>
          <w:ilvl w:val="0"/>
          <w:numId w:val="9"/>
        </w:numPr>
      </w:pPr>
      <w:r w:rsidRPr="006B589F">
        <w:rPr>
          <w:b/>
          <w:bCs/>
        </w:rPr>
        <w:t xml:space="preserve">Basic </w:t>
      </w:r>
      <w:r w:rsidR="00044FF9" w:rsidRPr="006B589F">
        <w:rPr>
          <w:b/>
          <w:bCs/>
        </w:rPr>
        <w:t xml:space="preserve">principles of ligand binding </w:t>
      </w:r>
      <w:r w:rsidR="00555CB4" w:rsidRPr="006B589F">
        <w:rPr>
          <w:b/>
          <w:bCs/>
        </w:rPr>
        <w:t>kinetics</w:t>
      </w:r>
      <w:r w:rsidRPr="006B589F">
        <w:rPr>
          <w:b/>
          <w:bCs/>
        </w:rPr>
        <w:t>.</w:t>
      </w:r>
    </w:p>
    <w:p w14:paraId="4D8B51E1" w14:textId="6B559BF9" w:rsidR="000E231D" w:rsidRDefault="000E231D" w:rsidP="000E231D">
      <w:pPr>
        <w:pStyle w:val="ListParagraph"/>
        <w:numPr>
          <w:ilvl w:val="0"/>
          <w:numId w:val="9"/>
        </w:numPr>
      </w:pPr>
      <w:bookmarkStart w:id="0" w:name="_Hlk35410199"/>
      <w:r w:rsidRPr="006B589F">
        <w:rPr>
          <w:b/>
          <w:bCs/>
        </w:rPr>
        <w:t>Kinetic a</w:t>
      </w:r>
      <w:r w:rsidR="009D3BAF" w:rsidRPr="006B589F">
        <w:rPr>
          <w:b/>
          <w:bCs/>
        </w:rPr>
        <w:t xml:space="preserve">nalysis </w:t>
      </w:r>
      <w:r w:rsidR="00BE5082" w:rsidRPr="006B589F">
        <w:rPr>
          <w:b/>
          <w:bCs/>
        </w:rPr>
        <w:t>m</w:t>
      </w:r>
      <w:r w:rsidR="00625EC1" w:rsidRPr="006B589F">
        <w:rPr>
          <w:b/>
          <w:bCs/>
        </w:rPr>
        <w:t>ethods for direct target-ligand binding assays</w:t>
      </w:r>
      <w:bookmarkEnd w:id="0"/>
      <w:r w:rsidRPr="006B589F">
        <w:rPr>
          <w:b/>
          <w:bCs/>
        </w:rPr>
        <w:t>.</w:t>
      </w:r>
      <w:r>
        <w:t xml:space="preserve"> Applicable to targets</w:t>
      </w:r>
      <w:r w:rsidR="00413195">
        <w:t xml:space="preserve"> where technology is available to directly measure </w:t>
      </w:r>
      <w:r w:rsidR="00FC70D1">
        <w:t>target-ligand</w:t>
      </w:r>
      <w:r w:rsidR="00413195">
        <w:t xml:space="preserve"> interaction</w:t>
      </w:r>
      <w:r>
        <w:t>.</w:t>
      </w:r>
    </w:p>
    <w:p w14:paraId="36912965" w14:textId="6A5F18A0" w:rsidR="000E231D" w:rsidRDefault="000E231D" w:rsidP="000E231D">
      <w:pPr>
        <w:pStyle w:val="ListParagraph"/>
        <w:numPr>
          <w:ilvl w:val="0"/>
          <w:numId w:val="9"/>
        </w:numPr>
      </w:pPr>
      <w:bookmarkStart w:id="1" w:name="_Hlk35410249"/>
      <w:r w:rsidRPr="006B589F">
        <w:rPr>
          <w:b/>
          <w:bCs/>
        </w:rPr>
        <w:t>Competition kinetics</w:t>
      </w:r>
      <w:bookmarkEnd w:id="1"/>
      <w:r w:rsidR="006B589F" w:rsidRPr="006B589F">
        <w:rPr>
          <w:b/>
          <w:bCs/>
        </w:rPr>
        <w:t>: Quantifying kinetics by competition against a tracer ligand</w:t>
      </w:r>
      <w:r w:rsidRPr="006B589F">
        <w:rPr>
          <w:b/>
          <w:bCs/>
        </w:rPr>
        <w:t>.</w:t>
      </w:r>
      <w:r w:rsidR="009D3BAF">
        <w:t xml:space="preserve"> </w:t>
      </w:r>
      <w:r w:rsidR="00625EC1">
        <w:t>Of</w:t>
      </w:r>
      <w:r w:rsidR="00BE5082">
        <w:t>ten it isn’t feasible to measure</w:t>
      </w:r>
      <w:r w:rsidR="00413195">
        <w:t xml:space="preserve"> ligand</w:t>
      </w:r>
      <w:r w:rsidR="00BE5082">
        <w:t xml:space="preserve"> binding directly</w:t>
      </w:r>
      <w:r w:rsidR="00413195">
        <w:t>. Instead,</w:t>
      </w:r>
      <w:r w:rsidR="00BE5082">
        <w:t xml:space="preserve"> competition binding approaches are employed where test </w:t>
      </w:r>
      <w:r w:rsidR="00413195">
        <w:t>ligand</w:t>
      </w:r>
      <w:r w:rsidR="00BE5082">
        <w:t xml:space="preserve"> binding is </w:t>
      </w:r>
      <w:r w:rsidR="009D3BAF">
        <w:t>assessed</w:t>
      </w:r>
      <w:r w:rsidR="00BE5082">
        <w:t xml:space="preserve"> by inhibition</w:t>
      </w:r>
      <w:r w:rsidR="009D3BAF">
        <w:t xml:space="preserve"> of</w:t>
      </w:r>
      <w:r w:rsidR="00BE5082">
        <w:t xml:space="preserve"> labeled “Tracer” ligand</w:t>
      </w:r>
      <w:r w:rsidR="00413195">
        <w:t xml:space="preserve"> binding</w:t>
      </w:r>
      <w:r w:rsidR="00BE5082">
        <w:t xml:space="preserve">. </w:t>
      </w:r>
      <w:r w:rsidR="001503F1">
        <w:t>This</w:t>
      </w:r>
      <w:r w:rsidR="00BE5082">
        <w:t xml:space="preserve"> </w:t>
      </w:r>
      <w:r w:rsidR="00413195">
        <w:t xml:space="preserve">competition </w:t>
      </w:r>
      <w:r w:rsidR="00BE5082">
        <w:t xml:space="preserve">method </w:t>
      </w:r>
      <w:r w:rsidR="009D3BAF">
        <w:t>can be used</w:t>
      </w:r>
      <w:r w:rsidR="00BE5082">
        <w:t xml:space="preserve"> to quantify binding kinetics</w:t>
      </w:r>
      <w:r>
        <w:t>.</w:t>
      </w:r>
    </w:p>
    <w:p w14:paraId="7F9AF94F" w14:textId="2823FD80" w:rsidR="000E231D" w:rsidRDefault="006B589F" w:rsidP="000E231D">
      <w:pPr>
        <w:pStyle w:val="ListParagraph"/>
        <w:numPr>
          <w:ilvl w:val="0"/>
          <w:numId w:val="9"/>
        </w:numPr>
      </w:pPr>
      <w:r w:rsidRPr="006B589F">
        <w:rPr>
          <w:b/>
          <w:bCs/>
        </w:rPr>
        <w:t>Compound w</w:t>
      </w:r>
      <w:r w:rsidR="000E231D" w:rsidRPr="006B589F">
        <w:rPr>
          <w:b/>
          <w:bCs/>
        </w:rPr>
        <w:t>ashout method</w:t>
      </w:r>
      <w:r w:rsidR="000E231D">
        <w:t>.</w:t>
      </w:r>
      <w:r w:rsidR="0062257F">
        <w:t xml:space="preserve"> An indirect method popular for kinase enzymes is the compound washout method, in which target and compound </w:t>
      </w:r>
      <w:r w:rsidR="007C3BD9">
        <w:t xml:space="preserve">are </w:t>
      </w:r>
      <w:r w:rsidR="0062257F">
        <w:t>pre-incubated, then compound washed out, and compound dissociation recorded by its ability to slow association of a tracer ligand</w:t>
      </w:r>
      <w:r w:rsidR="009D3BAF">
        <w:t>.</w:t>
      </w:r>
    </w:p>
    <w:p w14:paraId="2177D321" w14:textId="4E4D850F" w:rsidR="000E231D" w:rsidRDefault="000E231D" w:rsidP="000E231D">
      <w:pPr>
        <w:pStyle w:val="ListParagraph"/>
        <w:numPr>
          <w:ilvl w:val="0"/>
          <w:numId w:val="9"/>
        </w:numPr>
      </w:pPr>
      <w:r w:rsidRPr="006B589F">
        <w:rPr>
          <w:b/>
          <w:bCs/>
        </w:rPr>
        <w:t>Complex binding mechanisms.</w:t>
      </w:r>
      <w:r w:rsidR="009D3BAF">
        <w:t xml:space="preserve"> Sometimes the ligand binding mechanism is complex, for example involving multiple conformational states of the </w:t>
      </w:r>
      <w:r w:rsidR="00FC70D1">
        <w:t>target</w:t>
      </w:r>
      <w:r w:rsidR="009D3BAF">
        <w:t xml:space="preserve">. These more complex binding mechanisms and methods to measure their kinetics are introduced </w:t>
      </w:r>
      <w:r>
        <w:t>here</w:t>
      </w:r>
      <w:r w:rsidR="009D3BAF">
        <w:t>.</w:t>
      </w:r>
    </w:p>
    <w:p w14:paraId="02B4F077" w14:textId="0EF675FB" w:rsidR="000E231D" w:rsidRDefault="000E231D" w:rsidP="000E231D">
      <w:pPr>
        <w:pStyle w:val="ListParagraph"/>
        <w:numPr>
          <w:ilvl w:val="0"/>
          <w:numId w:val="9"/>
        </w:numPr>
      </w:pPr>
      <w:r w:rsidRPr="006B589F">
        <w:rPr>
          <w:b/>
          <w:bCs/>
        </w:rPr>
        <w:t>Binding kinetics from functional assays.</w:t>
      </w:r>
      <w:r w:rsidR="009D3BAF">
        <w:t xml:space="preserve"> For some targets, only a functional assay is available (e.g. enzyme catalysis or receptor signaling) and in </w:t>
      </w:r>
      <w:r w:rsidR="003B535A">
        <w:t>this section</w:t>
      </w:r>
      <w:r w:rsidR="009D3BAF">
        <w:t xml:space="preserve"> methods to measure </w:t>
      </w:r>
      <w:r w:rsidR="007C3BD9">
        <w:t>ligand</w:t>
      </w:r>
      <w:r w:rsidR="009D3BAF">
        <w:t xml:space="preserve"> binding kinetics in these assays are introduced.</w:t>
      </w:r>
    </w:p>
    <w:p w14:paraId="6A18F435" w14:textId="748DE8F7" w:rsidR="00044FF9" w:rsidRDefault="009D3BAF" w:rsidP="000E231D">
      <w:pPr>
        <w:pStyle w:val="ListParagraph"/>
        <w:numPr>
          <w:ilvl w:val="0"/>
          <w:numId w:val="9"/>
        </w:numPr>
      </w:pPr>
      <w:r w:rsidRPr="0039292D">
        <w:rPr>
          <w:b/>
          <w:bCs/>
        </w:rPr>
        <w:t>Appendix</w:t>
      </w:r>
      <w:r w:rsidR="0039292D">
        <w:t>.</w:t>
      </w:r>
      <w:r>
        <w:t xml:space="preserve"> </w:t>
      </w:r>
      <w:r w:rsidR="000E231D">
        <w:t>T</w:t>
      </w:r>
      <w:r w:rsidR="00813119">
        <w:t xml:space="preserve">heoretical description of target-ligand binding </w:t>
      </w:r>
      <w:r>
        <w:t>and the equations used to analyze the data.</w:t>
      </w:r>
    </w:p>
    <w:p w14:paraId="74147999" w14:textId="108CF949" w:rsidR="00370DA9" w:rsidRDefault="00352772" w:rsidP="002F04BA">
      <w:pPr>
        <w:pStyle w:val="Heading2"/>
      </w:pPr>
      <w:bookmarkStart w:id="2" w:name="_Basic_Principles_of"/>
      <w:bookmarkEnd w:id="2"/>
      <w:r>
        <w:t>Basic P</w:t>
      </w:r>
      <w:r w:rsidR="00370DA9">
        <w:t xml:space="preserve">rinciples of </w:t>
      </w:r>
      <w:r>
        <w:t>L</w:t>
      </w:r>
      <w:r w:rsidR="008146B5">
        <w:t xml:space="preserve">igand </w:t>
      </w:r>
      <w:r>
        <w:t>Binding K</w:t>
      </w:r>
      <w:r w:rsidR="00370DA9">
        <w:t>inetics</w:t>
      </w:r>
    </w:p>
    <w:p w14:paraId="169C9F94" w14:textId="651BC026" w:rsidR="008146B5" w:rsidRDefault="006B589F" w:rsidP="006B589F">
      <w:pPr>
        <w:ind w:firstLine="432"/>
      </w:pPr>
      <w:r>
        <w:t>Most drugs bind their target by the classic</w:t>
      </w:r>
      <w:r w:rsidR="008146B5">
        <w:t xml:space="preserve"> bimolecular interaction. A single ligand molecule binds to a single site on the target, </w:t>
      </w:r>
      <w:r>
        <w:t xml:space="preserve">in a single step, </w:t>
      </w:r>
      <w:r w:rsidR="008146B5">
        <w:t xml:space="preserve">as illustrated in </w:t>
      </w:r>
      <w:r w:rsidR="00900795">
        <w:t>Figure</w:t>
      </w:r>
      <w:r w:rsidR="008146B5">
        <w:t xml:space="preserve"> 1. The association step is governed by a rate constant called the association rate constant, denoted by the parameter </w:t>
      </w:r>
      <w:r w:rsidR="008146B5" w:rsidRPr="001503F1">
        <w:rPr>
          <w:i/>
          <w:iCs/>
        </w:rPr>
        <w:t>k</w:t>
      </w:r>
      <w:r w:rsidR="008146B5" w:rsidRPr="001503F1">
        <w:rPr>
          <w:vertAlign w:val="subscript"/>
        </w:rPr>
        <w:t>1</w:t>
      </w:r>
      <w:r w:rsidR="008146B5">
        <w:t xml:space="preserve">. The binding is reversible and the rate of breakdown of the complex is governed by a rate constant termed the dissociation rate constant, denoted by </w:t>
      </w:r>
      <w:proofErr w:type="gramStart"/>
      <w:r>
        <w:rPr>
          <w:i/>
          <w:iCs/>
        </w:rPr>
        <w:t>k</w:t>
      </w:r>
      <w:r w:rsidRPr="006B589F">
        <w:rPr>
          <w:vertAlign w:val="subscript"/>
        </w:rPr>
        <w:t>2</w:t>
      </w:r>
      <w:proofErr w:type="gramEnd"/>
      <w:r w:rsidR="008146B5">
        <w:t>.</w:t>
      </w:r>
      <w:r w:rsidR="00FA45E0">
        <w:t xml:space="preserve"> The process is shown in the video</w:t>
      </w:r>
      <w:r w:rsidR="00FA45E0" w:rsidRPr="004678F4">
        <w:t xml:space="preserve"> </w:t>
      </w:r>
      <w:r w:rsidR="00FA45E0" w:rsidRPr="004678F4">
        <w:rPr>
          <w:rStyle w:val="Hyperlink"/>
          <w:color w:val="auto"/>
          <w:u w:val="none"/>
        </w:rPr>
        <w:t>Binding kinetics animation</w:t>
      </w:r>
      <w:r w:rsidR="004678F4">
        <w:rPr>
          <w:rStyle w:val="Hyperlink"/>
          <w:color w:val="auto"/>
          <w:u w:val="none"/>
        </w:rPr>
        <w:t xml:space="preserve"> (video 1)</w:t>
      </w:r>
      <w:r w:rsidR="00FA45E0">
        <w:t>.</w:t>
      </w:r>
      <w:r w:rsidR="008146B5">
        <w:t xml:space="preserve"> The interaction can be written schematically as:</w:t>
      </w:r>
    </w:p>
    <w:p w14:paraId="2AD689EB" w14:textId="30738F4C" w:rsidR="008146B5" w:rsidRDefault="00C119F5" w:rsidP="00BE01EC">
      <w:pPr>
        <w:pStyle w:val="Equation"/>
      </w:pPr>
      <w:r>
        <w:rPr>
          <w:noProof/>
        </w:rPr>
        <w:drawing>
          <wp:inline distT="0" distB="0" distL="0" distR="0" wp14:anchorId="5C4D1F70" wp14:editId="391828D3">
            <wp:extent cx="1392936" cy="585216"/>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me 1 pages 3 and 34_10pc300dpi.jpg"/>
                    <pic:cNvPicPr/>
                  </pic:nvPicPr>
                  <pic:blipFill>
                    <a:blip r:embed="rId14">
                      <a:extLst>
                        <a:ext uri="{28A0092B-C50C-407E-A947-70E740481C1C}">
                          <a14:useLocalDpi xmlns:a14="http://schemas.microsoft.com/office/drawing/2010/main" val="0"/>
                        </a:ext>
                      </a:extLst>
                    </a:blip>
                    <a:stretch>
                      <a:fillRect/>
                    </a:stretch>
                  </pic:blipFill>
                  <pic:spPr>
                    <a:xfrm>
                      <a:off x="0" y="0"/>
                      <a:ext cx="1392936" cy="585216"/>
                    </a:xfrm>
                    <a:prstGeom prst="rect">
                      <a:avLst/>
                    </a:prstGeom>
                  </pic:spPr>
                </pic:pic>
              </a:graphicData>
            </a:graphic>
          </wp:inline>
        </w:drawing>
      </w:r>
    </w:p>
    <w:p w14:paraId="1AEB1D98" w14:textId="4E2C6C0B" w:rsidR="00E965AD" w:rsidRDefault="00E965AD" w:rsidP="00370DA9">
      <w:proofErr w:type="gramStart"/>
      <w:r>
        <w:t>where</w:t>
      </w:r>
      <w:proofErr w:type="gramEnd"/>
      <w:r>
        <w:t xml:space="preserve"> R is the target, L the ligand, and RL the target-ligand complex.</w:t>
      </w:r>
    </w:p>
    <w:p w14:paraId="1939B22C" w14:textId="77777777" w:rsidR="00BE2561" w:rsidRDefault="00BE2561" w:rsidP="00370DA9"/>
    <w:p w14:paraId="3EB7783B" w14:textId="2C1D46E9" w:rsidR="0054407B" w:rsidRDefault="0054407B" w:rsidP="006B589F">
      <w:pPr>
        <w:ind w:firstLine="720"/>
      </w:pPr>
      <w:r>
        <w:t xml:space="preserve">The appearance of this mechanism in binding data is shown in </w:t>
      </w:r>
      <w:r w:rsidR="00900795">
        <w:t>Figure</w:t>
      </w:r>
      <w:r>
        <w:t xml:space="preserve"> 2, where the time course</w:t>
      </w:r>
      <w:r w:rsidR="00A27147">
        <w:t>s</w:t>
      </w:r>
      <w:r>
        <w:t xml:space="preserve"> of association and dissociation</w:t>
      </w:r>
      <w:r w:rsidR="00A27147">
        <w:t xml:space="preserve"> are</w:t>
      </w:r>
      <w:r>
        <w:t xml:space="preserve"> presented</w:t>
      </w:r>
      <w:r w:rsidR="00FA45E0">
        <w:t xml:space="preserve">, and also in the </w:t>
      </w:r>
      <w:r w:rsidR="004678F4">
        <w:t>video</w:t>
      </w:r>
      <w:r w:rsidR="004678F4" w:rsidRPr="004678F4">
        <w:t xml:space="preserve"> </w:t>
      </w:r>
      <w:r w:rsidR="004678F4" w:rsidRPr="004678F4">
        <w:rPr>
          <w:rStyle w:val="Hyperlink"/>
          <w:color w:val="auto"/>
          <w:u w:val="none"/>
        </w:rPr>
        <w:t>Binding kinetics animation</w:t>
      </w:r>
      <w:r w:rsidR="004678F4">
        <w:rPr>
          <w:rStyle w:val="Hyperlink"/>
          <w:color w:val="auto"/>
          <w:u w:val="none"/>
        </w:rPr>
        <w:t xml:space="preserve"> (video 1). </w:t>
      </w:r>
      <w:r w:rsidR="00D667FD">
        <w:t>The y axis is the concentration of target-ligand complexes.</w:t>
      </w:r>
      <w:r w:rsidR="00A27147">
        <w:t xml:space="preserve"> In the association </w:t>
      </w:r>
      <w:r w:rsidR="00D667FD">
        <w:t xml:space="preserve">time course </w:t>
      </w:r>
      <w:r w:rsidR="00A27147">
        <w:t xml:space="preserve">data, following </w:t>
      </w:r>
      <w:r w:rsidR="00A27147">
        <w:lastRenderedPageBreak/>
        <w:t>mixture of target and ligand</w:t>
      </w:r>
      <w:r w:rsidR="00E07F42">
        <w:t>,</w:t>
      </w:r>
      <w:r w:rsidR="00A27147">
        <w:t xml:space="preserve"> the amount of the target-ligand complex rises rapidly at the beginning</w:t>
      </w:r>
      <w:r w:rsidR="001F2717">
        <w:t xml:space="preserve"> (</w:t>
      </w:r>
      <w:r w:rsidR="00900795">
        <w:t>Figure</w:t>
      </w:r>
      <w:r w:rsidR="001F2717">
        <w:t xml:space="preserve"> 2A)</w:t>
      </w:r>
      <w:r w:rsidR="00A27147">
        <w:t xml:space="preserve">. The increase then slows down and then the level of binding approaches a plateau. </w:t>
      </w:r>
      <w:bookmarkStart w:id="3" w:name="_Hlk54093412"/>
      <w:r w:rsidR="00FB71B5">
        <w:t xml:space="preserve">This plateau represents the equilibrium level of binding (also referred to as binding at steady state). </w:t>
      </w:r>
      <w:bookmarkEnd w:id="3"/>
      <w:r w:rsidR="004479E9">
        <w:t>This curve shape is called an association exponential curve.</w:t>
      </w:r>
      <w:r w:rsidR="00A27147">
        <w:t xml:space="preserve"> Dissociation of the target-ligand population over time is shown in </w:t>
      </w:r>
      <w:r w:rsidR="00900795">
        <w:t>Figure</w:t>
      </w:r>
      <w:r w:rsidR="00A27147">
        <w:t xml:space="preserve"> 2</w:t>
      </w:r>
      <w:r w:rsidR="001F2717">
        <w:t>B</w:t>
      </w:r>
      <w:r w:rsidR="00A27147">
        <w:t xml:space="preserve">. </w:t>
      </w:r>
      <w:r w:rsidR="00195CD6">
        <w:t>Decline</w:t>
      </w:r>
      <w:r w:rsidR="00A27147">
        <w:t xml:space="preserve"> of the population is rapid</w:t>
      </w:r>
      <w:r w:rsidR="00D667FD">
        <w:t xml:space="preserve"> at first</w:t>
      </w:r>
      <w:r w:rsidR="00A27147">
        <w:t>, then slows, then approaches zero at which point all the complexes have broken down. Th</w:t>
      </w:r>
      <w:r w:rsidR="00195CD6">
        <w:t>e dissociation curve follows the</w:t>
      </w:r>
      <w:r w:rsidR="00A27147">
        <w:t xml:space="preserve"> classic exponential</w:t>
      </w:r>
      <w:r w:rsidR="004479E9">
        <w:t xml:space="preserve"> decay</w:t>
      </w:r>
      <w:r w:rsidR="00A27147">
        <w:t xml:space="preserve"> curve, familiar in radioactive decay.</w:t>
      </w:r>
    </w:p>
    <w:p w14:paraId="09BCA68D" w14:textId="703A7CD0" w:rsidR="001F2717" w:rsidRDefault="001F2717" w:rsidP="00370DA9"/>
    <w:p w14:paraId="2BBE3565" w14:textId="542778EB" w:rsidR="00195CD6" w:rsidRDefault="00195CD6" w:rsidP="00370DA9">
      <w:r>
        <w:tab/>
        <w:t xml:space="preserve">Unfortunately, the rate terms used to quantify kinetics are not intuitive </w:t>
      </w:r>
      <w:r w:rsidR="00D667FD">
        <w:t>for</w:t>
      </w:r>
      <w:r>
        <w:t xml:space="preserve"> the uninitiated investigator. The units of the association rate constant are </w:t>
      </w:r>
      <w:r w:rsidR="00CF2903">
        <w:t>molar</w:t>
      </w:r>
      <w:r w:rsidRPr="00BE2561">
        <w:rPr>
          <w:vertAlign w:val="superscript"/>
        </w:rPr>
        <w:t>-1</w:t>
      </w:r>
      <w:r w:rsidRPr="00BE2561">
        <w:rPr>
          <w:i/>
          <w:iCs/>
        </w:rPr>
        <w:t>t</w:t>
      </w:r>
      <w:r w:rsidRPr="00BE2561">
        <w:rPr>
          <w:vertAlign w:val="superscript"/>
        </w:rPr>
        <w:t>-1</w:t>
      </w:r>
      <w:r>
        <w:t xml:space="preserve"> and of the dissociation rate constant </w:t>
      </w:r>
      <w:r w:rsidRPr="00BE2561">
        <w:rPr>
          <w:i/>
          <w:iCs/>
        </w:rPr>
        <w:t>t</w:t>
      </w:r>
      <w:r w:rsidRPr="00BE2561">
        <w:rPr>
          <w:vertAlign w:val="superscript"/>
        </w:rPr>
        <w:t>-1</w:t>
      </w:r>
      <w:r w:rsidR="00BE2561" w:rsidRPr="00BE2561">
        <w:t xml:space="preserve"> </w:t>
      </w:r>
      <w:r w:rsidR="00BE2561">
        <w:t xml:space="preserve">(where </w:t>
      </w:r>
      <w:proofErr w:type="spellStart"/>
      <w:r w:rsidR="00BE2561" w:rsidRPr="00BE2561">
        <w:rPr>
          <w:i/>
          <w:iCs/>
        </w:rPr>
        <w:t>t</w:t>
      </w:r>
      <w:proofErr w:type="spellEnd"/>
      <w:r w:rsidR="00BE2561">
        <w:t xml:space="preserve"> is time, in minutes or seconds).</w:t>
      </w:r>
      <w:r>
        <w:t xml:space="preserve"> </w:t>
      </w:r>
      <w:r w:rsidR="00BE2561">
        <w:t>T</w:t>
      </w:r>
      <w:r>
        <w:t>he larger the rate constant value, the more rapid the binding event (association or dissociation). In an attempt to make the dissociation data easier to interpret, dissociation is often quantified as the residence time</w:t>
      </w:r>
      <w:r w:rsidR="00022060">
        <w:t xml:space="preserve"> (RT)</w:t>
      </w:r>
      <w:r>
        <w:t xml:space="preserve">, which is the reciprocal of </w:t>
      </w:r>
      <w:proofErr w:type="gramStart"/>
      <w:r w:rsidR="006B589F">
        <w:rPr>
          <w:i/>
          <w:iCs/>
        </w:rPr>
        <w:t>k</w:t>
      </w:r>
      <w:r w:rsidR="006B589F" w:rsidRPr="006B589F">
        <w:rPr>
          <w:vertAlign w:val="subscript"/>
        </w:rPr>
        <w:t>2</w:t>
      </w:r>
      <w:proofErr w:type="gramEnd"/>
      <w:r>
        <w:t xml:space="preserve">, i.e. 1 / </w:t>
      </w:r>
      <w:r w:rsidR="006B589F">
        <w:rPr>
          <w:i/>
          <w:iCs/>
        </w:rPr>
        <w:t>k</w:t>
      </w:r>
      <w:r w:rsidR="006B589F" w:rsidRPr="006B589F">
        <w:rPr>
          <w:vertAlign w:val="subscript"/>
        </w:rPr>
        <w:t>2</w:t>
      </w:r>
      <w:r w:rsidR="0080081D">
        <w:t>. Alternatively, sometimes dissociation is quantified as the half-time</w:t>
      </w:r>
      <w:r w:rsidR="007C0EDD">
        <w:t xml:space="preserve">, which is 0.693 / </w:t>
      </w:r>
      <w:proofErr w:type="gramStart"/>
      <w:r w:rsidR="006B589F">
        <w:rPr>
          <w:i/>
          <w:iCs/>
        </w:rPr>
        <w:t>k</w:t>
      </w:r>
      <w:r w:rsidR="006B589F" w:rsidRPr="006B589F">
        <w:rPr>
          <w:vertAlign w:val="subscript"/>
        </w:rPr>
        <w:t>2</w:t>
      </w:r>
      <w:proofErr w:type="gramEnd"/>
      <w:r w:rsidR="007C0EDD">
        <w:t xml:space="preserve">. These parameters give an estimate of the stability of the </w:t>
      </w:r>
      <w:r w:rsidR="00DC03D5" w:rsidRPr="00DC03D5">
        <w:t>target-ligand</w:t>
      </w:r>
      <w:r w:rsidR="007C0EDD">
        <w:t xml:space="preserve"> complex</w:t>
      </w:r>
      <w:r w:rsidR="0080081D">
        <w:t>,</w:t>
      </w:r>
      <w:r w:rsidR="007C0EDD">
        <w:t xml:space="preserve"> and so are more intuitive. However, the </w:t>
      </w:r>
      <w:r w:rsidR="0080081D">
        <w:t>RT</w:t>
      </w:r>
      <w:r w:rsidR="007C0EDD">
        <w:t xml:space="preserve"> concept can give the misleading impression that every individual target-ligand complex in the population breaks down at this time. This is not the case. Dissociation is a random process (formally, a stochastic process) where an individual complex among the population can break down more rapidly or more slowly than the </w:t>
      </w:r>
      <w:r w:rsidR="00022060">
        <w:t>RT</w:t>
      </w:r>
      <w:r w:rsidR="007C0EDD">
        <w:t xml:space="preserve">. </w:t>
      </w:r>
      <w:r w:rsidR="00264B17">
        <w:t xml:space="preserve">The </w:t>
      </w:r>
      <w:r w:rsidR="00022060">
        <w:t>RT</w:t>
      </w:r>
      <w:r w:rsidR="00264B17">
        <w:t xml:space="preserve"> is an average of the population, formally the time at which the </w:t>
      </w:r>
      <w:r w:rsidR="001C0EC6">
        <w:t>63rd</w:t>
      </w:r>
      <w:r w:rsidR="00264B17">
        <w:t xml:space="preserve"> percentile of the population of targets breaks down.</w:t>
      </w:r>
      <w:r w:rsidR="003E7A8C">
        <w:t xml:space="preserve"> Detailed reviews on the mechanics of the association and dissociation process are available</w:t>
      </w:r>
      <w:r w:rsidR="002F04BA">
        <w:t xml:space="preserve"> (20</w:t>
      </w:r>
      <w:proofErr w:type="gramStart"/>
      <w:r w:rsidR="002F04BA">
        <w:t>,23</w:t>
      </w:r>
      <w:proofErr w:type="gramEnd"/>
      <w:r w:rsidR="002F04BA">
        <w:t xml:space="preserve">-26). </w:t>
      </w:r>
    </w:p>
    <w:p w14:paraId="116D8A30" w14:textId="0956A192" w:rsidR="0022465D" w:rsidRDefault="0022465D" w:rsidP="00370DA9">
      <w:r>
        <w:tab/>
      </w:r>
      <w:r w:rsidR="00972A05">
        <w:t xml:space="preserve">The rate constants are related to the binding affinity, i.e. the concentration of ligand required to occupy 50% of the </w:t>
      </w:r>
      <w:proofErr w:type="spellStart"/>
      <w:r w:rsidR="00DC03D5">
        <w:t>targets</w:t>
      </w:r>
      <w:r w:rsidR="00972A05">
        <w:t>s</w:t>
      </w:r>
      <w:proofErr w:type="spellEnd"/>
      <w:r w:rsidR="00972A05">
        <w:t xml:space="preserve"> at equilibrium. </w:t>
      </w:r>
      <w:r w:rsidR="00BE7D20">
        <w:t>T</w:t>
      </w:r>
      <w:r w:rsidR="00BE7D20" w:rsidRPr="00BE7D20">
        <w:t>he equilibrium constant</w:t>
      </w:r>
      <w:r w:rsidR="00972A05">
        <w:t xml:space="preserve"> (</w:t>
      </w:r>
      <w:proofErr w:type="spellStart"/>
      <w:proofErr w:type="gramStart"/>
      <w:r w:rsidR="00972A05" w:rsidRPr="00BE2561">
        <w:rPr>
          <w:i/>
          <w:iCs/>
        </w:rPr>
        <w:t>K</w:t>
      </w:r>
      <w:r w:rsidR="00972A05" w:rsidRPr="00BE2561">
        <w:rPr>
          <w:vertAlign w:val="subscript"/>
        </w:rPr>
        <w:t>d</w:t>
      </w:r>
      <w:proofErr w:type="spellEnd"/>
      <w:proofErr w:type="gramEnd"/>
      <w:r w:rsidR="00972A05">
        <w:t>)</w:t>
      </w:r>
      <w:r w:rsidR="00BE7D20">
        <w:t>, a measure of affinity,</w:t>
      </w:r>
      <w:r w:rsidR="00972A05">
        <w:t xml:space="preserve"> is related to the rate constants as follows:</w:t>
      </w:r>
    </w:p>
    <w:p w14:paraId="25B9FB54" w14:textId="45476A93" w:rsidR="00972A05" w:rsidRPr="00830F76" w:rsidRDefault="00CF1AF2" w:rsidP="00830F76">
      <w:pPr>
        <w:pStyle w:val="Equation"/>
        <w:rPr>
          <w:rFonts w:eastAsiaTheme="minorEastAsia"/>
        </w:rPr>
      </w:pPr>
      <m:oMathPara>
        <m:oMath>
          <m:sSub>
            <m:sSubPr>
              <m:ctrlPr>
                <w:rPr>
                  <w:rFonts w:ascii="Cambria Math" w:hAnsi="Cambria Math"/>
                </w:rPr>
              </m:ctrlPr>
            </m:sSubPr>
            <m:e>
              <m:r>
                <w:rPr>
                  <w:rFonts w:ascii="Cambria Math" w:hAnsi="Cambria Math"/>
                </w:rPr>
                <m:t>K</m:t>
              </m:r>
            </m:e>
            <m:sub>
              <m:r>
                <w:rPr>
                  <w:rFonts w:ascii="Cambria Math" w:hAnsi="Cambria Math"/>
                </w:rPr>
                <m:t>d</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k</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k</m:t>
                  </m:r>
                </m:e>
                <m:sub>
                  <m:r>
                    <m:rPr>
                      <m:sty m:val="p"/>
                    </m:rPr>
                    <w:rPr>
                      <w:rFonts w:ascii="Cambria Math" w:hAnsi="Cambria Math"/>
                    </w:rPr>
                    <m:t>1</m:t>
                  </m:r>
                </m:sub>
              </m:sSub>
            </m:den>
          </m:f>
        </m:oMath>
      </m:oMathPara>
    </w:p>
    <w:p w14:paraId="1DA36F71" w14:textId="5144884E" w:rsidR="00537DCE" w:rsidRDefault="00537DCE" w:rsidP="00370DA9">
      <w:r>
        <w:t xml:space="preserve">This relationship </w:t>
      </w:r>
      <w:r w:rsidR="005321A2">
        <w:t>allows an alternative method for measuring affinity</w:t>
      </w:r>
      <w:r w:rsidR="0080081D">
        <w:t>, rather</w:t>
      </w:r>
      <w:r w:rsidR="005321A2">
        <w:t xml:space="preserve"> than the standard method of titrating the ligand concentration and incubating until equilibrium is reached. </w:t>
      </w:r>
      <w:r w:rsidR="0080081D">
        <w:t>Instead, the affinity is determined by measuring t</w:t>
      </w:r>
      <w:r w:rsidR="005321A2">
        <w:t xml:space="preserve">he association and dissociation rates </w:t>
      </w:r>
      <w:r w:rsidR="0080081D">
        <w:t>(</w:t>
      </w:r>
      <w:r w:rsidR="005321A2">
        <w:t>as described below</w:t>
      </w:r>
      <w:r w:rsidR="0080081D">
        <w:t>)</w:t>
      </w:r>
      <w:r w:rsidR="005321A2">
        <w:t xml:space="preserve"> and affinity </w:t>
      </w:r>
      <w:r w:rsidR="0080081D">
        <w:t>then calculated</w:t>
      </w:r>
      <w:r w:rsidR="005321A2">
        <w:t xml:space="preserve"> using the equation. This method is used routinely in surface </w:t>
      </w:r>
      <w:proofErr w:type="spellStart"/>
      <w:r w:rsidR="005321A2">
        <w:t>plasmon</w:t>
      </w:r>
      <w:proofErr w:type="spellEnd"/>
      <w:r w:rsidR="005321A2">
        <w:t xml:space="preserve"> resonance</w:t>
      </w:r>
      <w:r w:rsidR="005B7D96">
        <w:t xml:space="preserve"> (SPR)</w:t>
      </w:r>
      <w:r w:rsidR="005321A2">
        <w:t xml:space="preserve"> binding assays</w:t>
      </w:r>
      <w:r w:rsidR="008F7599">
        <w:t xml:space="preserve"> (27)</w:t>
      </w:r>
      <w:r w:rsidR="005321A2">
        <w:t>.</w:t>
      </w:r>
    </w:p>
    <w:p w14:paraId="599B90ED" w14:textId="4013C085" w:rsidR="005029D6" w:rsidRDefault="005029D6" w:rsidP="00370DA9"/>
    <w:p w14:paraId="50CD81C9" w14:textId="76F8E331" w:rsidR="005029D6" w:rsidRDefault="005029D6" w:rsidP="00370DA9"/>
    <w:p w14:paraId="4530D393" w14:textId="16069237" w:rsidR="005029D6" w:rsidRPr="00830F76" w:rsidRDefault="002F04BA" w:rsidP="00830F76">
      <w:pPr>
        <w:pStyle w:val="Heading2"/>
      </w:pPr>
      <w:bookmarkStart w:id="4" w:name="_Kinetic_Analysis_Methods"/>
      <w:bookmarkEnd w:id="4"/>
      <w:r w:rsidRPr="00830F76">
        <w:t>Kinetic Analysis Methods for Direct Target-Ligand Binding Assays</w:t>
      </w:r>
    </w:p>
    <w:p w14:paraId="11545F89" w14:textId="0308156E" w:rsidR="000D224F" w:rsidRDefault="00A95A79" w:rsidP="004E0B5B">
      <w:pPr>
        <w:ind w:firstLine="432"/>
      </w:pPr>
      <w:r>
        <w:t>The</w:t>
      </w:r>
      <w:r w:rsidR="00B87E7A">
        <w:t xml:space="preserve"> goal is to measure the association rate constant </w:t>
      </w:r>
      <w:r w:rsidR="001503F1" w:rsidRPr="001503F1">
        <w:rPr>
          <w:i/>
          <w:iCs/>
        </w:rPr>
        <w:t>k</w:t>
      </w:r>
      <w:r w:rsidR="001503F1" w:rsidRPr="001503F1">
        <w:rPr>
          <w:vertAlign w:val="subscript"/>
        </w:rPr>
        <w:t>1</w:t>
      </w:r>
      <w:r w:rsidR="00B87E7A">
        <w:t xml:space="preserve"> and dissociation rate constant </w:t>
      </w:r>
      <w:proofErr w:type="gramStart"/>
      <w:r w:rsidR="006B589F">
        <w:rPr>
          <w:i/>
          <w:iCs/>
        </w:rPr>
        <w:t>k</w:t>
      </w:r>
      <w:r w:rsidR="006B589F" w:rsidRPr="006B589F">
        <w:rPr>
          <w:vertAlign w:val="subscript"/>
        </w:rPr>
        <w:t>2</w:t>
      </w:r>
      <w:proofErr w:type="gramEnd"/>
      <w:r w:rsidR="00B87E7A">
        <w:t xml:space="preserve">. </w:t>
      </w:r>
      <w:r w:rsidR="005029D6">
        <w:t xml:space="preserve">Here </w:t>
      </w:r>
      <w:r w:rsidR="0028083E">
        <w:t xml:space="preserve">we </w:t>
      </w:r>
      <w:r w:rsidR="005029D6">
        <w:t xml:space="preserve">measure the rate constants when an assay is available to directly quantify interaction of the ligand of interest with the target. A very broad array of assay technologies is available for measuring ligand </w:t>
      </w:r>
      <w:r w:rsidR="005029D6">
        <w:lastRenderedPageBreak/>
        <w:t>binding and for the purposes of this chapter it is assumed the investigator has selected an appropriate binding assay for their target of interest</w:t>
      </w:r>
      <w:r w:rsidR="0028083E">
        <w:t>.</w:t>
      </w:r>
      <w:r w:rsidR="00AD72BD">
        <w:t xml:space="preserve"> The methods and their suitability for kinetics are summarized in Table 1</w:t>
      </w:r>
      <w:r w:rsidR="005029D6">
        <w:t xml:space="preserve">. The reader is referred to recent comprehensive reviews on binding assays </w:t>
      </w:r>
      <w:r w:rsidR="006E2F6C">
        <w:t xml:space="preserve">ideally </w:t>
      </w:r>
      <w:r w:rsidR="005029D6">
        <w:t>suit</w:t>
      </w:r>
      <w:r w:rsidR="006E2F6C">
        <w:t>ed</w:t>
      </w:r>
      <w:r w:rsidR="005029D6">
        <w:t xml:space="preserve"> for kinetic measurements</w:t>
      </w:r>
      <w:r w:rsidR="008F7599">
        <w:t xml:space="preserve"> (15</w:t>
      </w:r>
      <w:proofErr w:type="gramStart"/>
      <w:r w:rsidR="008F7599">
        <w:t>,16,20,21</w:t>
      </w:r>
      <w:proofErr w:type="gramEnd"/>
      <w:r w:rsidR="008F7599">
        <w:t>)</w:t>
      </w:r>
      <w:r w:rsidR="005029D6">
        <w:t>.</w:t>
      </w:r>
      <w:r w:rsidR="006E2F6C">
        <w:t xml:space="preserve"> The ideal assay permits serial reading of the binding reaction vessel, the “Real-time” continuous read </w:t>
      </w:r>
      <w:proofErr w:type="gramStart"/>
      <w:r w:rsidR="006E2F6C">
        <w:t>modality</w:t>
      </w:r>
      <w:r w:rsidR="00AB5C2B">
        <w:t>,</w:t>
      </w:r>
      <w:r w:rsidR="006E2F6C">
        <w:t xml:space="preserve"> that</w:t>
      </w:r>
      <w:proofErr w:type="gramEnd"/>
      <w:r w:rsidR="006E2F6C">
        <w:t xml:space="preserve"> enables multiple time point measurements in the same assay plate</w:t>
      </w:r>
      <w:r w:rsidR="0028083E">
        <w:t xml:space="preserve">. Less ideal are </w:t>
      </w:r>
      <w:r w:rsidR="006E2F6C">
        <w:t xml:space="preserve">end-point assays requiring a </w:t>
      </w:r>
      <w:r w:rsidR="00AB5C2B">
        <w:t xml:space="preserve">separate </w:t>
      </w:r>
      <w:r w:rsidR="006E2F6C">
        <w:t xml:space="preserve">plate for each time </w:t>
      </w:r>
      <w:proofErr w:type="gramStart"/>
      <w:r w:rsidR="006E2F6C">
        <w:t>point.</w:t>
      </w:r>
      <w:proofErr w:type="gramEnd"/>
      <w:r w:rsidR="006E2F6C">
        <w:t xml:space="preserve"> </w:t>
      </w:r>
      <w:r w:rsidR="003F3362" w:rsidRPr="003F3362">
        <w:t>Fluorescence</w:t>
      </w:r>
      <w:r w:rsidR="00587ADC">
        <w:t xml:space="preserve"> or </w:t>
      </w:r>
      <w:r w:rsidR="003F3362">
        <w:t>b</w:t>
      </w:r>
      <w:r w:rsidR="003F3362" w:rsidRPr="003F3362">
        <w:t>ioluminescence</w:t>
      </w:r>
      <w:r w:rsidR="00587ADC">
        <w:t xml:space="preserve"> resonance energy transfer technologies are particularly useful for </w:t>
      </w:r>
      <w:r w:rsidRPr="00A95A79">
        <w:t>the continuous read modality</w:t>
      </w:r>
      <w:r w:rsidR="00C3564A">
        <w:t xml:space="preserve"> (7</w:t>
      </w:r>
      <w:proofErr w:type="gramStart"/>
      <w:r w:rsidR="00C3564A">
        <w:t>,15,28,29</w:t>
      </w:r>
      <w:proofErr w:type="gramEnd"/>
      <w:r w:rsidR="00C3564A">
        <w:t>)</w:t>
      </w:r>
      <w:r w:rsidR="00587ADC">
        <w:t>.</w:t>
      </w:r>
    </w:p>
    <w:p w14:paraId="27377945" w14:textId="1FDC3C04" w:rsidR="005029D6" w:rsidRDefault="000D224F" w:rsidP="000D224F">
      <w:pPr>
        <w:ind w:firstLine="720"/>
      </w:pPr>
      <w:r>
        <w:t xml:space="preserve">The type of data analyzed is specific binding, i.e. the ligand binding signal that is specific to the target. This involves subtracting nonspecific binding </w:t>
      </w:r>
      <w:r w:rsidR="00543D38">
        <w:t xml:space="preserve">(to other </w:t>
      </w:r>
      <w:r>
        <w:t>components in the assay</w:t>
      </w:r>
      <w:r w:rsidR="00543D38">
        <w:t xml:space="preserve"> and assay surfaces) </w:t>
      </w:r>
      <w:r>
        <w:t xml:space="preserve">from the total ligand binding signal. It is best practice to do this for each time point of the time course, in case there is a </w:t>
      </w:r>
      <w:r w:rsidR="00A139F4">
        <w:t xml:space="preserve">slight </w:t>
      </w:r>
      <w:r>
        <w:t>drift of the nonspecific binding signal over time.</w:t>
      </w:r>
      <w:r w:rsidR="00A139F4">
        <w:t xml:space="preserve"> Ideally nonspecific binding will remain constant over time. If there is </w:t>
      </w:r>
      <w:r w:rsidR="00DC7E3E">
        <w:t xml:space="preserve">a </w:t>
      </w:r>
      <w:r w:rsidR="00A139F4">
        <w:t xml:space="preserve">major drift of nonspecific binding this can indicate technical issues with the assay that need to be resolved, e.g. </w:t>
      </w:r>
      <w:proofErr w:type="spellStart"/>
      <w:r w:rsidR="00A139F4">
        <w:t>photobleaching</w:t>
      </w:r>
      <w:proofErr w:type="spellEnd"/>
      <w:r w:rsidR="00A139F4">
        <w:t xml:space="preserve"> of fluorescent ligands.</w:t>
      </w:r>
    </w:p>
    <w:p w14:paraId="04F32DD2" w14:textId="003192B5" w:rsidR="004E0B5B" w:rsidRDefault="004E0B5B" w:rsidP="004E0B5B"/>
    <w:p w14:paraId="5A5835B7" w14:textId="28FC81EB" w:rsidR="00B87E7A" w:rsidRPr="00830F76" w:rsidRDefault="00830F76" w:rsidP="00180634">
      <w:pPr>
        <w:pStyle w:val="Heading3"/>
      </w:pPr>
      <w:bookmarkStart w:id="5" w:name="_Association_Rate_Constant"/>
      <w:bookmarkEnd w:id="5"/>
      <w:r>
        <w:t>Association Rate Constant f</w:t>
      </w:r>
      <w:r w:rsidRPr="00830F76">
        <w:t>rom a Direct Target-Ligand Binding Assay</w:t>
      </w:r>
    </w:p>
    <w:p w14:paraId="065B4E31" w14:textId="4BD35E26" w:rsidR="00E74D31" w:rsidRDefault="005E4BCF" w:rsidP="00CE0D77">
      <w:pPr>
        <w:ind w:firstLine="576"/>
      </w:pPr>
      <w:r>
        <w:t xml:space="preserve">The association rate constant is measured using a target-ligand </w:t>
      </w:r>
      <w:r w:rsidR="00DD2640">
        <w:t xml:space="preserve">association </w:t>
      </w:r>
      <w:r>
        <w:t>assay.</w:t>
      </w:r>
      <w:r w:rsidR="00DD2640">
        <w:t xml:space="preserve"> </w:t>
      </w:r>
      <w:r>
        <w:t>L</w:t>
      </w:r>
      <w:r w:rsidR="00DD2640">
        <w:t xml:space="preserve">igand and target are combined and </w:t>
      </w:r>
      <w:r w:rsidR="00B87E7A">
        <w:t xml:space="preserve">then binding of the target-ligand complex </w:t>
      </w:r>
      <w:r w:rsidR="0057160D">
        <w:t xml:space="preserve">is </w:t>
      </w:r>
      <w:r w:rsidR="00B87E7A">
        <w:t>measured at various time points</w:t>
      </w:r>
      <w:r w:rsidR="00222F6C">
        <w:t xml:space="preserve"> (</w:t>
      </w:r>
      <w:r w:rsidR="00900795">
        <w:t>Figure</w:t>
      </w:r>
      <w:r w:rsidR="00222F6C">
        <w:t xml:space="preserve"> 3)</w:t>
      </w:r>
      <w:r w:rsidR="00B87E7A">
        <w:t>.</w:t>
      </w:r>
      <w:r w:rsidR="00E74D31">
        <w:t xml:space="preserve"> </w:t>
      </w:r>
      <w:r w:rsidR="003B1726">
        <w:t xml:space="preserve">The resulting association curve conforms to an exponential </w:t>
      </w:r>
      <w:r w:rsidR="004479E9">
        <w:t>association curve</w:t>
      </w:r>
      <w:r w:rsidR="003B1726">
        <w:t>, as described above.</w:t>
      </w:r>
      <w:r w:rsidR="00E74D31">
        <w:t xml:space="preserve"> </w:t>
      </w:r>
      <w:r w:rsidR="0011074B">
        <w:t>M</w:t>
      </w:r>
      <w:r w:rsidR="00E74D31">
        <w:t xml:space="preserve">ultiple concentrations of tracer </w:t>
      </w:r>
      <w:r w:rsidR="0011074B">
        <w:t xml:space="preserve">are tested in the experiment and </w:t>
      </w:r>
      <w:r w:rsidR="00E74D31">
        <w:t xml:space="preserve">the data </w:t>
      </w:r>
      <w:r w:rsidR="004479E9">
        <w:t xml:space="preserve">are </w:t>
      </w:r>
      <w:r w:rsidR="00E74D31">
        <w:t>analyzed in a two-step process. First, the time course data are fit to an exponential equation</w:t>
      </w:r>
      <w:r w:rsidR="004479E9">
        <w:t>. This</w:t>
      </w:r>
      <w:r w:rsidR="00E74D31">
        <w:t xml:space="preserve"> yields a parameter called the observed association rate</w:t>
      </w:r>
      <w:r w:rsidR="004479E9">
        <w:t>,</w:t>
      </w:r>
      <w:r w:rsidR="0011074B">
        <w:t xml:space="preserve"> </w:t>
      </w:r>
      <w:r w:rsidR="004479E9">
        <w:t xml:space="preserve">a separate value </w:t>
      </w:r>
      <w:r w:rsidR="0011074B">
        <w:t>for each ligand concentration</w:t>
      </w:r>
      <w:r w:rsidR="00E74D31">
        <w:t>. Second, the observed association rate is plotted against the ligand concentration</w:t>
      </w:r>
      <w:r w:rsidR="004479E9">
        <w:t>. The</w:t>
      </w:r>
      <w:r w:rsidR="00E74D31">
        <w:t xml:space="preserve"> data </w:t>
      </w:r>
      <w:r w:rsidR="004479E9">
        <w:t xml:space="preserve">are then </w:t>
      </w:r>
      <w:r w:rsidR="00E74D31">
        <w:t xml:space="preserve">fit by linear regression. </w:t>
      </w:r>
      <w:proofErr w:type="gramStart"/>
      <w:r w:rsidR="001503F1" w:rsidRPr="001503F1">
        <w:rPr>
          <w:i/>
          <w:iCs/>
        </w:rPr>
        <w:t>k</w:t>
      </w:r>
      <w:r w:rsidR="001503F1" w:rsidRPr="001503F1">
        <w:rPr>
          <w:vertAlign w:val="subscript"/>
        </w:rPr>
        <w:t>1</w:t>
      </w:r>
      <w:proofErr w:type="gramEnd"/>
      <w:r w:rsidR="00E74D31">
        <w:t xml:space="preserve"> is then determined, as the gradient of the line.</w:t>
      </w:r>
    </w:p>
    <w:p w14:paraId="4B9600EF" w14:textId="77777777" w:rsidR="008338F7" w:rsidRDefault="008338F7" w:rsidP="008338F7"/>
    <w:p w14:paraId="1E5EA916" w14:textId="68E66477" w:rsidR="00C2363D" w:rsidRDefault="00C2363D" w:rsidP="00E74D31">
      <w:pPr>
        <w:ind w:firstLine="720"/>
      </w:pPr>
      <w:r>
        <w:t>The assay setup considerations are detailed in Box 1. Enough time points should be</w:t>
      </w:r>
      <w:r w:rsidR="002251E7">
        <w:t xml:space="preserve"> collected</w:t>
      </w:r>
      <w:r>
        <w:t xml:space="preserve"> to properly define the curve, particularly the rise phase and plateau. Some iteration will likely be required to identify the optimal range of time points to satisfy these criteria. The concentration of tracer should span at least a 10-fold range with concentrations above and below the </w:t>
      </w:r>
      <w:proofErr w:type="spellStart"/>
      <w:r w:rsidR="00BE2561" w:rsidRPr="00BE2561">
        <w:rPr>
          <w:i/>
          <w:iCs/>
        </w:rPr>
        <w:t>K</w:t>
      </w:r>
      <w:r w:rsidR="00BE2561" w:rsidRPr="00BE2561">
        <w:rPr>
          <w:vertAlign w:val="subscript"/>
        </w:rPr>
        <w:t>d</w:t>
      </w:r>
      <w:proofErr w:type="spellEnd"/>
      <w:r>
        <w:t>.</w:t>
      </w:r>
      <w:r w:rsidR="0011074B">
        <w:t xml:space="preserve"> Precise ligand serial dilution is required, i.e. there should be minimal loss of ligand to surfaces on serial dilution. This is particularly important for high-affinity ligands where the concentration in the experiment is in the low </w:t>
      </w:r>
      <w:proofErr w:type="spellStart"/>
      <w:r w:rsidR="0011074B">
        <w:t>nM</w:t>
      </w:r>
      <w:proofErr w:type="spellEnd"/>
      <w:r w:rsidR="0011074B">
        <w:t xml:space="preserve"> </w:t>
      </w:r>
      <w:r w:rsidR="00AB5C2B">
        <w:t xml:space="preserve">or </w:t>
      </w:r>
      <w:proofErr w:type="spellStart"/>
      <w:r w:rsidR="00AB5C2B">
        <w:t>pM</w:t>
      </w:r>
      <w:proofErr w:type="spellEnd"/>
      <w:r w:rsidR="0011074B">
        <w:t xml:space="preserve"> range. </w:t>
      </w:r>
      <w:r>
        <w:t xml:space="preserve">The concentration of ligand bound at the plateau </w:t>
      </w:r>
      <w:r w:rsidR="004479E9">
        <w:t xml:space="preserve">of the time course </w:t>
      </w:r>
      <w:r>
        <w:t xml:space="preserve">should ideally be less than 10% of the </w:t>
      </w:r>
      <w:r w:rsidR="00EF23B4">
        <w:t>total ligand concentration</w:t>
      </w:r>
      <w:r w:rsidR="002251E7">
        <w:t>, as described in</w:t>
      </w:r>
      <w:r w:rsidR="00181756">
        <w:t xml:space="preserve"> (22)</w:t>
      </w:r>
      <w:r w:rsidR="00EF23B4">
        <w:t xml:space="preserve"> (“Zone A”) although &lt; 20% is acceptable. It is possible to analyze data when a substantial fraction of the ligand is bound by the target but this requires a different analysis</w:t>
      </w:r>
      <w:r w:rsidR="003A52DC">
        <w:t xml:space="preserve"> </w:t>
      </w:r>
      <w:r w:rsidR="006E611A">
        <w:t>(</w:t>
      </w:r>
      <w:r w:rsidR="003A52DC">
        <w:t>see, for example, Eq. 11 in</w:t>
      </w:r>
      <w:r w:rsidR="00EF23B4">
        <w:t xml:space="preserve"> </w:t>
      </w:r>
      <w:r w:rsidR="004479E9">
        <w:t>ref</w:t>
      </w:r>
      <w:r w:rsidR="003A52DC">
        <w:t>.</w:t>
      </w:r>
      <w:r w:rsidR="00181756">
        <w:t xml:space="preserve"> (40)</w:t>
      </w:r>
      <w:r w:rsidR="00EF23B4">
        <w:t>)</w:t>
      </w:r>
      <w:r w:rsidR="006E611A">
        <w:t>.</w:t>
      </w:r>
      <w:r w:rsidR="00EF23B4">
        <w:t xml:space="preserve"> The tracer and target must be stable over the duration of the experiment.</w:t>
      </w:r>
    </w:p>
    <w:p w14:paraId="065B49D8" w14:textId="5F534C06" w:rsidR="0003298F" w:rsidRDefault="000B3304" w:rsidP="000B3304">
      <w:pPr>
        <w:ind w:firstLine="720"/>
      </w:pPr>
      <w:r>
        <w:t>Representative d</w:t>
      </w:r>
      <w:r w:rsidR="00EF23B4">
        <w:t xml:space="preserve">ata for the association experiment are shown in </w:t>
      </w:r>
      <w:r w:rsidR="00900795">
        <w:t>Figure</w:t>
      </w:r>
      <w:r w:rsidR="00EF23B4">
        <w:t xml:space="preserve"> 3</w:t>
      </w:r>
      <w:r>
        <w:t xml:space="preserve">, for six concentrations of ligand. </w:t>
      </w:r>
      <w:r w:rsidR="003D1345">
        <w:t xml:space="preserve">Note that as the concentration of ligand increases, the rate of association increases. This is </w:t>
      </w:r>
      <w:r w:rsidR="003D1345">
        <w:lastRenderedPageBreak/>
        <w:t>evident visually by the steepness of the initial part of the time course increasing as the ligand concentration increases (</w:t>
      </w:r>
      <w:r w:rsidR="00900795">
        <w:t>Figure</w:t>
      </w:r>
      <w:r w:rsidR="003D1345">
        <w:t xml:space="preserve"> 3A). This is because association is driven by mass action; the more ligand, the faster the target becomes occupied. </w:t>
      </w:r>
      <w:r>
        <w:t xml:space="preserve">Now we proceed with the data analysis. The first step is to fit the time course data to </w:t>
      </w:r>
      <w:r w:rsidR="0003298F">
        <w:t>the appropriate exponential equation. The equation used is the association exponential equation</w:t>
      </w:r>
      <w:r w:rsidR="00DE54A6">
        <w:t>, which</w:t>
      </w:r>
      <w:r>
        <w:t xml:space="preserve"> emerges from the</w:t>
      </w:r>
      <w:r w:rsidR="0003298F">
        <w:t xml:space="preserve"> underlying theory of </w:t>
      </w:r>
      <w:r>
        <w:t>target-</w:t>
      </w:r>
      <w:r w:rsidR="0003298F">
        <w:t xml:space="preserve">ligand </w:t>
      </w:r>
      <w:r>
        <w:t xml:space="preserve">binding kinetics described in the </w:t>
      </w:r>
      <w:hyperlink w:anchor="_Appendix:_Equations_for" w:history="1">
        <w:r w:rsidR="0003298F" w:rsidRPr="002113A8">
          <w:rPr>
            <w:rStyle w:val="Hyperlink"/>
          </w:rPr>
          <w:t>Appendix</w:t>
        </w:r>
      </w:hyperlink>
      <w:r>
        <w:t>.</w:t>
      </w:r>
      <w:r w:rsidR="0003298F">
        <w:t xml:space="preserve"> This equation is Eq. 1:</w:t>
      </w:r>
    </w:p>
    <w:p w14:paraId="1E080150" w14:textId="77777777" w:rsidR="00813119" w:rsidRDefault="00813119" w:rsidP="0003298F"/>
    <w:p w14:paraId="28B5FABC" w14:textId="2305A542" w:rsidR="0003298F" w:rsidRPr="00BE01EC" w:rsidRDefault="00CF1AF2" w:rsidP="00BE01EC">
      <w:pPr>
        <w:pStyle w:val="Equation"/>
        <w:rPr>
          <w:rStyle w:val="LabelorNumber"/>
        </w:rPr>
      </w:pPr>
      <m:oMath>
        <m:d>
          <m:dPr>
            <m:begChr m:val="["/>
            <m:endChr m:val="]"/>
            <m:ctrlPr>
              <w:rPr>
                <w:rFonts w:ascii="Cambria Math" w:eastAsiaTheme="minorEastAsia" w:hAnsi="Cambria Math"/>
                <w:iCs/>
                <w:highlight w:val="yellow"/>
              </w:rPr>
            </m:ctrlPr>
          </m:dPr>
          <m:e>
            <m:r>
              <m:rPr>
                <m:sty m:val="p"/>
              </m:rPr>
              <w:rPr>
                <w:rFonts w:ascii="Cambria Math" w:eastAsiaTheme="minorEastAsia" w:hAnsi="Cambria Math"/>
                <w:highlight w:val="yellow"/>
              </w:rPr>
              <m:t>RL</m:t>
            </m:r>
          </m:e>
        </m:d>
        <m:r>
          <w:rPr>
            <w:rFonts w:ascii="Cambria Math" w:eastAsiaTheme="minorEastAsia" w:hAnsi="Cambria Math"/>
            <w:highlight w:val="yellow"/>
          </w:rPr>
          <m:t>=</m:t>
        </m:r>
        <m:sSub>
          <m:sSubPr>
            <m:ctrlPr>
              <w:rPr>
                <w:rFonts w:ascii="Cambria Math" w:eastAsiaTheme="minorEastAsia" w:hAnsi="Cambria Math"/>
                <w:i/>
                <w:highlight w:val="yellow"/>
              </w:rPr>
            </m:ctrlPr>
          </m:sSubPr>
          <m:e>
            <m:d>
              <m:dPr>
                <m:begChr m:val="["/>
                <m:endChr m:val="]"/>
                <m:ctrlPr>
                  <w:rPr>
                    <w:rFonts w:ascii="Cambria Math" w:eastAsiaTheme="minorEastAsia" w:hAnsi="Cambria Math"/>
                    <w:i/>
                    <w:highlight w:val="yellow"/>
                  </w:rPr>
                </m:ctrlPr>
              </m:dPr>
              <m:e>
                <m:r>
                  <m:rPr>
                    <m:sty m:val="p"/>
                  </m:rPr>
                  <w:rPr>
                    <w:rFonts w:ascii="Cambria Math" w:eastAsiaTheme="minorEastAsia" w:hAnsi="Cambria Math"/>
                    <w:highlight w:val="yellow"/>
                  </w:rPr>
                  <m:t>RL</m:t>
                </m:r>
              </m:e>
            </m:d>
          </m:e>
          <m:sub>
            <m:r>
              <w:rPr>
                <w:rFonts w:ascii="Cambria Math" w:eastAsiaTheme="minorEastAsia" w:hAnsi="Cambria Math"/>
                <w:highlight w:val="yellow"/>
              </w:rPr>
              <m:t>t</m:t>
            </m:r>
            <m:d>
              <m:dPr>
                <m:ctrlPr>
                  <w:rPr>
                    <w:rFonts w:ascii="Cambria Math" w:eastAsiaTheme="minorEastAsia" w:hAnsi="Cambria Math"/>
                    <w:i/>
                    <w:highlight w:val="yellow"/>
                  </w:rPr>
                </m:ctrlPr>
              </m:dPr>
              <m:e>
                <m:r>
                  <w:rPr>
                    <w:rFonts w:ascii="Cambria Math" w:eastAsiaTheme="minorEastAsia" w:hAnsi="Cambria Math"/>
                    <w:highlight w:val="yellow"/>
                  </w:rPr>
                  <m:t>inf</m:t>
                </m:r>
              </m:e>
            </m:d>
          </m:sub>
        </m:sSub>
        <m:r>
          <w:rPr>
            <w:rFonts w:ascii="Cambria Math" w:eastAsiaTheme="minorEastAsia" w:hAnsi="Cambria Math"/>
            <w:highlight w:val="yellow"/>
          </w:rPr>
          <m:t>×</m:t>
        </m:r>
        <m:d>
          <m:dPr>
            <m:ctrlPr>
              <w:rPr>
                <w:rFonts w:ascii="Cambria Math" w:eastAsiaTheme="minorEastAsia" w:hAnsi="Cambria Math"/>
                <w:i/>
                <w:highlight w:val="yellow"/>
              </w:rPr>
            </m:ctrlPr>
          </m:dPr>
          <m:e>
            <m:r>
              <w:rPr>
                <w:rFonts w:ascii="Cambria Math" w:eastAsiaTheme="minorEastAsia" w:hAnsi="Cambria Math"/>
                <w:highlight w:val="yellow"/>
              </w:rPr>
              <m:t>1-</m:t>
            </m:r>
            <m:sSup>
              <m:sSupPr>
                <m:ctrlPr>
                  <w:rPr>
                    <w:rFonts w:ascii="Cambria Math" w:eastAsiaTheme="minorEastAsia" w:hAnsi="Cambria Math"/>
                    <w:i/>
                    <w:highlight w:val="yellow"/>
                  </w:rPr>
                </m:ctrlPr>
              </m:sSupPr>
              <m:e>
                <m:r>
                  <w:rPr>
                    <w:rFonts w:ascii="Cambria Math" w:eastAsiaTheme="minorEastAsia" w:hAnsi="Cambria Math"/>
                    <w:highlight w:val="yellow"/>
                  </w:rPr>
                  <m:t>e</m:t>
                </m:r>
              </m:e>
              <m:sup>
                <m:r>
                  <w:rPr>
                    <w:rFonts w:ascii="Cambria Math" w:eastAsiaTheme="minorEastAsia" w:hAnsi="Cambria Math"/>
                    <w:highlight w:val="yellow"/>
                  </w:rPr>
                  <m:t>-</m:t>
                </m:r>
                <m:sSub>
                  <m:sSubPr>
                    <m:ctrlPr>
                      <w:rPr>
                        <w:rFonts w:ascii="Cambria Math" w:eastAsiaTheme="minorEastAsia" w:hAnsi="Cambria Math"/>
                        <w:i/>
                        <w:highlight w:val="yellow"/>
                      </w:rPr>
                    </m:ctrlPr>
                  </m:sSubPr>
                  <m:e>
                    <m:r>
                      <w:rPr>
                        <w:rFonts w:ascii="Cambria Math" w:eastAsiaTheme="minorEastAsia" w:hAnsi="Cambria Math"/>
                        <w:highlight w:val="yellow"/>
                      </w:rPr>
                      <m:t>k</m:t>
                    </m:r>
                  </m:e>
                  <m:sub>
                    <m:r>
                      <w:rPr>
                        <w:rFonts w:ascii="Cambria Math" w:eastAsiaTheme="minorEastAsia" w:hAnsi="Cambria Math"/>
                        <w:highlight w:val="yellow"/>
                      </w:rPr>
                      <m:t>obs</m:t>
                    </m:r>
                  </m:sub>
                </m:sSub>
                <m:r>
                  <w:rPr>
                    <w:rFonts w:ascii="Cambria Math" w:eastAsiaTheme="minorEastAsia" w:hAnsi="Cambria Math"/>
                    <w:highlight w:val="yellow"/>
                  </w:rPr>
                  <m:t>t</m:t>
                </m:r>
              </m:sup>
            </m:sSup>
          </m:e>
        </m:d>
      </m:oMath>
      <w:r w:rsidR="00061E7E">
        <w:rPr>
          <w:rFonts w:eastAsiaTheme="minorEastAsia"/>
        </w:rPr>
        <w:tab/>
      </w:r>
      <w:r w:rsidR="00813119" w:rsidRPr="00BE01EC">
        <w:rPr>
          <w:rStyle w:val="LabelorNumber"/>
          <w:rFonts w:eastAsiaTheme="minorHAnsi"/>
        </w:rPr>
        <w:t>Eq. 1</w:t>
      </w:r>
    </w:p>
    <w:p w14:paraId="7BEEA0F4" w14:textId="7375CF1C" w:rsidR="00813119" w:rsidRDefault="00813119" w:rsidP="00B70CDE">
      <w:proofErr w:type="gramStart"/>
      <w:r>
        <w:t>where</w:t>
      </w:r>
      <w:proofErr w:type="gramEnd"/>
      <w:r>
        <w:t xml:space="preserve"> </w:t>
      </w:r>
      <m:oMath>
        <m:r>
          <w:rPr>
            <w:rFonts w:ascii="Cambria Math" w:hAnsi="Cambria Math"/>
          </w:rPr>
          <m:t>[</m:t>
        </m:r>
        <m:r>
          <m:rPr>
            <m:sty m:val="p"/>
          </m:rPr>
          <w:rPr>
            <w:rFonts w:ascii="Cambria Math" w:hAnsi="Cambria Math"/>
          </w:rPr>
          <m:t>RL]</m:t>
        </m:r>
      </m:oMath>
      <w:r>
        <w:t xml:space="preserve"> is the concentration of target-ligand complex (the y axis value), </w:t>
      </w:r>
      <w:r w:rsidRPr="003A52DC">
        <w:rPr>
          <w:i/>
          <w:iCs/>
        </w:rPr>
        <w:t>t</w:t>
      </w:r>
      <w:r>
        <w:t xml:space="preserve"> the time (the x axis value),</w:t>
      </w:r>
      <w:r w:rsidR="003A52DC">
        <w:t xml:space="preserve"> and</w:t>
      </w:r>
      <w:r>
        <w:t xml:space="preserve"> </w:t>
      </w:r>
      <m:oMath>
        <m:sSub>
          <m:sSubPr>
            <m:ctrlPr>
              <w:rPr>
                <w:rFonts w:ascii="Cambria Math" w:hAnsi="Cambria Math"/>
                <w:i/>
              </w:rPr>
            </m:ctrlPr>
          </m:sSubPr>
          <m:e>
            <m:r>
              <m:rPr>
                <m:sty m:val="p"/>
              </m:rPr>
              <w:rPr>
                <w:rFonts w:ascii="Cambria Math" w:hAnsi="Cambria Math"/>
              </w:rPr>
              <m:t>[RL]</m:t>
            </m:r>
          </m:e>
          <m:sub>
            <m:r>
              <w:rPr>
                <w:rFonts w:ascii="Cambria Math" w:hAnsi="Cambria Math"/>
              </w:rPr>
              <m:t>t(inf)</m:t>
            </m:r>
          </m:sub>
        </m:sSub>
      </m:oMath>
      <w:r>
        <w:t>the concentration of target-ligand complex at the plateau</w:t>
      </w:r>
      <w:r w:rsidR="003A52DC">
        <w:t>, i.e. at infinite time</w:t>
      </w:r>
      <w:r>
        <w:t xml:space="preserve">. </w:t>
      </w:r>
      <m:oMath>
        <m:sSub>
          <m:sSubPr>
            <m:ctrlPr>
              <w:rPr>
                <w:rFonts w:ascii="Cambria Math" w:hAnsi="Cambria Math"/>
                <w:i/>
              </w:rPr>
            </m:ctrlPr>
          </m:sSubPr>
          <m:e>
            <m:r>
              <w:rPr>
                <w:rFonts w:ascii="Cambria Math" w:hAnsi="Cambria Math"/>
              </w:rPr>
              <m:t>k</m:t>
            </m:r>
          </m:e>
          <m:sub>
            <m:r>
              <w:rPr>
                <w:rFonts w:ascii="Cambria Math" w:hAnsi="Cambria Math"/>
              </w:rPr>
              <m:t>obs</m:t>
            </m:r>
          </m:sub>
        </m:sSub>
      </m:oMath>
      <w:r>
        <w:t xml:space="preserve"> </w:t>
      </w:r>
      <w:proofErr w:type="gramStart"/>
      <w:r>
        <w:t>is</w:t>
      </w:r>
      <w:proofErr w:type="gramEnd"/>
      <w:r>
        <w:t xml:space="preserve"> </w:t>
      </w:r>
      <w:r w:rsidR="00B70CDE">
        <w:t xml:space="preserve">a parameter </w:t>
      </w:r>
      <w:r w:rsidR="000B3304">
        <w:t>termed</w:t>
      </w:r>
      <w:r w:rsidR="00B70CDE">
        <w:t xml:space="preserve"> </w:t>
      </w:r>
      <w:r>
        <w:t>the observed rate constant. It is the observed rate of association of</w:t>
      </w:r>
      <w:r w:rsidR="00B70CDE">
        <w:t xml:space="preserve"> ligand with target at the concentration of ligand tested. It is important to stress that </w:t>
      </w:r>
      <w:bookmarkStart w:id="6" w:name="OLE_LINK1"/>
      <m:oMath>
        <m:sSub>
          <m:sSubPr>
            <m:ctrlPr>
              <w:rPr>
                <w:rFonts w:ascii="Cambria Math" w:hAnsi="Cambria Math"/>
                <w:i/>
              </w:rPr>
            </m:ctrlPr>
          </m:sSubPr>
          <m:e>
            <m:r>
              <w:rPr>
                <w:rFonts w:ascii="Cambria Math" w:hAnsi="Cambria Math"/>
              </w:rPr>
              <m:t>k</m:t>
            </m:r>
          </m:e>
          <m:sub>
            <m:r>
              <w:rPr>
                <w:rFonts w:ascii="Cambria Math" w:hAnsi="Cambria Math"/>
              </w:rPr>
              <m:t>obs</m:t>
            </m:r>
          </m:sub>
        </m:sSub>
      </m:oMath>
      <w:bookmarkEnd w:id="6"/>
      <w:r w:rsidR="00B70CDE">
        <w:t xml:space="preserve"> is not the same as the association rate constant, </w:t>
      </w:r>
      <w:r w:rsidR="001503F1" w:rsidRPr="001503F1">
        <w:rPr>
          <w:i/>
          <w:iCs/>
        </w:rPr>
        <w:t>k</w:t>
      </w:r>
      <w:r w:rsidR="001503F1" w:rsidRPr="001503F1">
        <w:rPr>
          <w:vertAlign w:val="subscript"/>
        </w:rPr>
        <w:t>1</w:t>
      </w:r>
      <w:r w:rsidR="00B70CDE">
        <w:t xml:space="preserve">. </w:t>
      </w:r>
      <m:oMath>
        <m:sSub>
          <m:sSubPr>
            <m:ctrlPr>
              <w:rPr>
                <w:rFonts w:ascii="Cambria Math" w:hAnsi="Cambria Math"/>
                <w:i/>
              </w:rPr>
            </m:ctrlPr>
          </m:sSubPr>
          <m:e>
            <m:r>
              <w:rPr>
                <w:rFonts w:ascii="Cambria Math" w:hAnsi="Cambria Math"/>
              </w:rPr>
              <m:t>k</m:t>
            </m:r>
          </m:e>
          <m:sub>
            <m:r>
              <w:rPr>
                <w:rFonts w:ascii="Cambria Math" w:hAnsi="Cambria Math"/>
              </w:rPr>
              <m:t>obs</m:t>
            </m:r>
          </m:sub>
        </m:sSub>
      </m:oMath>
      <w:r w:rsidR="00B70CDE">
        <w:t xml:space="preserve"> </w:t>
      </w:r>
      <w:proofErr w:type="gramStart"/>
      <w:r w:rsidR="00B70CDE">
        <w:t>is</w:t>
      </w:r>
      <w:proofErr w:type="gramEnd"/>
      <w:r w:rsidR="00B70CDE">
        <w:t xml:space="preserve"> related to </w:t>
      </w:r>
      <w:r w:rsidR="001503F1" w:rsidRPr="001503F1">
        <w:rPr>
          <w:i/>
          <w:iCs/>
        </w:rPr>
        <w:t>k</w:t>
      </w:r>
      <w:r w:rsidR="001503F1" w:rsidRPr="001503F1">
        <w:rPr>
          <w:vertAlign w:val="subscript"/>
        </w:rPr>
        <w:t>1</w:t>
      </w:r>
      <w:r w:rsidR="00B70CDE">
        <w:t xml:space="preserve">, as described </w:t>
      </w:r>
      <w:r w:rsidR="00163C61">
        <w:t>below</w:t>
      </w:r>
      <w:r w:rsidR="00B70CDE">
        <w:t>.</w:t>
      </w:r>
    </w:p>
    <w:p w14:paraId="6F0092AE" w14:textId="17936C06" w:rsidR="00B70CDE" w:rsidRDefault="00B70CDE" w:rsidP="00B70CDE">
      <w:r>
        <w:tab/>
        <w:t>Th</w:t>
      </w:r>
      <w:r w:rsidR="00B97856">
        <w:t>e time course</w:t>
      </w:r>
      <w:r>
        <w:t xml:space="preserve"> data can be analyzed using commercially-available software, including Prism</w:t>
      </w:r>
      <w:r w:rsidR="0090635B">
        <w:t xml:space="preserve"> from </w:t>
      </w:r>
      <w:proofErr w:type="spellStart"/>
      <w:r w:rsidR="0090635B">
        <w:t>GraphPad</w:t>
      </w:r>
      <w:proofErr w:type="spellEnd"/>
      <w:r w:rsidR="0090635B">
        <w:t xml:space="preserve"> Software, Inc., </w:t>
      </w:r>
      <w:proofErr w:type="spellStart"/>
      <w:r w:rsidR="0090635B">
        <w:t>XLfit</w:t>
      </w:r>
      <w:proofErr w:type="spellEnd"/>
      <w:r w:rsidR="0090635B">
        <w:t xml:space="preserve"> from ID Business Solutions Ltd.</w:t>
      </w:r>
      <w:r w:rsidR="000B3304">
        <w:t>,</w:t>
      </w:r>
      <w:r w:rsidR="0090635B">
        <w:t xml:space="preserve"> </w:t>
      </w:r>
      <w:r w:rsidR="000B3304">
        <w:t>a</w:t>
      </w:r>
      <w:r w:rsidR="0090635B">
        <w:t xml:space="preserve">nd </w:t>
      </w:r>
      <w:proofErr w:type="spellStart"/>
      <w:r w:rsidR="0090635B">
        <w:t>SigmaPlot</w:t>
      </w:r>
      <w:proofErr w:type="spellEnd"/>
      <w:r w:rsidR="0090635B">
        <w:t xml:space="preserve"> from </w:t>
      </w:r>
      <w:proofErr w:type="spellStart"/>
      <w:r w:rsidR="0090635B">
        <w:t>Systat</w:t>
      </w:r>
      <w:proofErr w:type="spellEnd"/>
      <w:r w:rsidR="0090635B">
        <w:t xml:space="preserve"> Software, Inc.</w:t>
      </w:r>
      <w:r>
        <w:t xml:space="preserve"> Eq. 1 is built</w:t>
      </w:r>
      <w:r w:rsidR="000B3304">
        <w:t xml:space="preserve"> </w:t>
      </w:r>
      <w:r>
        <w:t>into these programs.</w:t>
      </w:r>
      <w:r w:rsidR="0090635B">
        <w:t xml:space="preserve"> Here we show how to analyze these data using Prism</w:t>
      </w:r>
      <w:r w:rsidR="003A52DC">
        <w:t xml:space="preserve"> (Version 8 is used but the equations are available in all previous versions)</w:t>
      </w:r>
      <w:r w:rsidR="0090635B">
        <w:t xml:space="preserve">. A step-by-step guide is shown in the </w:t>
      </w:r>
      <w:r w:rsidR="00B11183">
        <w:t>supplementary f</w:t>
      </w:r>
      <w:r w:rsidR="001173A2">
        <w:t>ile</w:t>
      </w:r>
      <w:r w:rsidR="0090635B">
        <w:t xml:space="preserve"> </w:t>
      </w:r>
      <w:bookmarkStart w:id="7" w:name="OLE_LINK2"/>
      <w:r w:rsidR="0090635B">
        <w:t>“</w:t>
      </w:r>
      <w:hyperlink r:id="rId15" w:history="1">
        <w:r w:rsidR="00C20375" w:rsidRPr="00B11183">
          <w:rPr>
            <w:rStyle w:val="Hyperlink"/>
            <w:highlight w:val="red"/>
          </w:rPr>
          <w:t>Association data analysis</w:t>
        </w:r>
      </w:hyperlink>
      <w:r w:rsidR="0090635B" w:rsidRPr="00DF41A8">
        <w:rPr>
          <w:highlight w:val="red"/>
        </w:rPr>
        <w:t>.</w:t>
      </w:r>
      <w:r w:rsidR="0090635B">
        <w:t>”</w:t>
      </w:r>
      <w:r w:rsidR="000B3304">
        <w:t xml:space="preserve"> </w:t>
      </w:r>
      <w:bookmarkEnd w:id="7"/>
      <w:r w:rsidR="000B3304">
        <w:t>The procedure employs nonlinear regression to fit the time course data to the exponential</w:t>
      </w:r>
      <w:r w:rsidR="003A52DC">
        <w:t xml:space="preserve"> association</w:t>
      </w:r>
      <w:r w:rsidR="000B3304">
        <w:t xml:space="preserve"> equation</w:t>
      </w:r>
      <w:r w:rsidR="003A52DC">
        <w:t xml:space="preserve"> (Eq. 1)</w:t>
      </w:r>
      <w:r w:rsidR="000B3304">
        <w:t xml:space="preserve">. Data for each concentration of ligand is fit to the equation, yielding a </w:t>
      </w:r>
      <w:proofErr w:type="spellStart"/>
      <w:r w:rsidR="008338F7" w:rsidRPr="008338F7">
        <w:rPr>
          <w:i/>
          <w:iCs/>
        </w:rPr>
        <w:t>k</w:t>
      </w:r>
      <w:r w:rsidR="008338F7" w:rsidRPr="008338F7">
        <w:rPr>
          <w:i/>
          <w:iCs/>
          <w:vertAlign w:val="subscript"/>
        </w:rPr>
        <w:t>obs</w:t>
      </w:r>
      <w:proofErr w:type="spellEnd"/>
      <w:r w:rsidR="000B3304">
        <w:t xml:space="preserve"> value for each concentration (</w:t>
      </w:r>
      <w:r w:rsidR="00900795">
        <w:t>Figure</w:t>
      </w:r>
      <w:r w:rsidR="000B3304">
        <w:t xml:space="preserve"> 3</w:t>
      </w:r>
      <w:r w:rsidR="003A52DC">
        <w:t>A</w:t>
      </w:r>
      <w:r w:rsidR="000B3304">
        <w:t>).</w:t>
      </w:r>
      <w:r w:rsidR="001E3F3A">
        <w:t xml:space="preserve"> The built-in equation in Prism is called, “One-phase association.”</w:t>
      </w:r>
      <w:r w:rsidR="00181756">
        <w:t>(41)</w:t>
      </w:r>
      <w:r w:rsidR="00EE4558">
        <w:t xml:space="preserve"> </w:t>
      </w:r>
      <w:r w:rsidR="001E3F3A">
        <w:t xml:space="preserve">Note this equation is formatted slightly differently from Eq. 1. </w:t>
      </w:r>
      <w:r w:rsidR="003A52DC">
        <w:t>(</w:t>
      </w:r>
      <w:r w:rsidR="001E3F3A">
        <w:t>Y0</w:t>
      </w:r>
      <w:r w:rsidR="003A52DC">
        <w:t xml:space="preserve"> in the Prism equation</w:t>
      </w:r>
      <w:r w:rsidR="001E3F3A">
        <w:t xml:space="preserve"> is binding at </w:t>
      </w:r>
      <w:r w:rsidR="001E3F3A" w:rsidRPr="003A52DC">
        <w:rPr>
          <w:i/>
          <w:iCs/>
        </w:rPr>
        <w:t>t</w:t>
      </w:r>
      <w:r w:rsidR="001E3F3A">
        <w:t xml:space="preserve"> = 0 (constrained to be zero), Span is equivalent </w:t>
      </w:r>
      <w:proofErr w:type="gramStart"/>
      <w:r w:rsidR="001E3F3A">
        <w:t xml:space="preserve">to </w:t>
      </w:r>
      <w:proofErr w:type="gramEnd"/>
      <m:oMath>
        <m:sSub>
          <m:sSubPr>
            <m:ctrlPr>
              <w:rPr>
                <w:rFonts w:ascii="Cambria Math" w:hAnsi="Cambria Math"/>
                <w:i/>
              </w:rPr>
            </m:ctrlPr>
          </m:sSubPr>
          <m:e>
            <m:r>
              <m:rPr>
                <m:sty m:val="p"/>
              </m:rPr>
              <w:rPr>
                <w:rFonts w:ascii="Cambria Math" w:hAnsi="Cambria Math"/>
              </w:rPr>
              <m:t>[RL]</m:t>
            </m:r>
          </m:e>
          <m:sub>
            <m:r>
              <w:rPr>
                <w:rFonts w:ascii="Cambria Math" w:hAnsi="Cambria Math"/>
              </w:rPr>
              <m:t>t(inf)</m:t>
            </m:r>
          </m:sub>
        </m:sSub>
      </m:oMath>
      <w:r w:rsidR="001E3F3A">
        <w:t xml:space="preserve">, and K is equivalent to </w:t>
      </w:r>
      <m:oMath>
        <m:sSub>
          <m:sSubPr>
            <m:ctrlPr>
              <w:rPr>
                <w:rFonts w:ascii="Cambria Math" w:hAnsi="Cambria Math"/>
                <w:i/>
              </w:rPr>
            </m:ctrlPr>
          </m:sSubPr>
          <m:e>
            <m:r>
              <w:rPr>
                <w:rFonts w:ascii="Cambria Math" w:hAnsi="Cambria Math"/>
              </w:rPr>
              <m:t>k</m:t>
            </m:r>
          </m:e>
          <m:sub>
            <m:r>
              <w:rPr>
                <w:rFonts w:ascii="Cambria Math" w:hAnsi="Cambria Math"/>
              </w:rPr>
              <m:t>obs</m:t>
            </m:r>
          </m:sub>
        </m:sSub>
      </m:oMath>
      <w:r w:rsidR="00181756">
        <w:t xml:space="preserve"> (41)</w:t>
      </w:r>
      <w:r w:rsidR="003A52DC">
        <w:t>)</w:t>
      </w:r>
      <w:r w:rsidR="00447A38">
        <w:t>.</w:t>
      </w:r>
    </w:p>
    <w:p w14:paraId="1D73CE36" w14:textId="2B2C6D69" w:rsidR="000B3304" w:rsidRPr="00BE01EC" w:rsidRDefault="000B3304" w:rsidP="00BE01EC">
      <w:pPr>
        <w:autoSpaceDE w:val="0"/>
        <w:autoSpaceDN w:val="0"/>
        <w:adjustRightInd w:val="0"/>
        <w:spacing w:after="0" w:line="240" w:lineRule="auto"/>
        <w:rPr>
          <w:rFonts w:ascii="Segoe UI" w:hAnsi="Segoe UI" w:cs="Segoe UI"/>
          <w:color w:val="000000"/>
          <w:sz w:val="20"/>
          <w:szCs w:val="20"/>
        </w:rPr>
      </w:pPr>
      <w:r>
        <w:tab/>
        <w:t xml:space="preserve">The second step is the determination of </w:t>
      </w:r>
      <w:r w:rsidR="001503F1" w:rsidRPr="001503F1">
        <w:rPr>
          <w:i/>
          <w:iCs/>
        </w:rPr>
        <w:t>k</w:t>
      </w:r>
      <w:r w:rsidR="001503F1" w:rsidRPr="001503F1">
        <w:rPr>
          <w:vertAlign w:val="subscript"/>
        </w:rPr>
        <w:t>1</w:t>
      </w:r>
      <w:r>
        <w:t xml:space="preserve">. This is done by plotting the </w:t>
      </w:r>
      <w:proofErr w:type="spellStart"/>
      <w:proofErr w:type="gramStart"/>
      <w:r w:rsidR="008338F7" w:rsidRPr="008338F7">
        <w:rPr>
          <w:i/>
          <w:iCs/>
        </w:rPr>
        <w:t>k</w:t>
      </w:r>
      <w:r w:rsidR="008338F7" w:rsidRPr="008338F7">
        <w:rPr>
          <w:i/>
          <w:iCs/>
          <w:vertAlign w:val="subscript"/>
        </w:rPr>
        <w:t>obs</w:t>
      </w:r>
      <w:proofErr w:type="spellEnd"/>
      <w:proofErr w:type="gramEnd"/>
      <w:r>
        <w:t xml:space="preserve"> value</w:t>
      </w:r>
      <w:r w:rsidR="00696448">
        <w:t>s</w:t>
      </w:r>
      <w:r>
        <w:t xml:space="preserve"> versus the concentration of ligand (</w:t>
      </w:r>
      <w:r w:rsidR="00900795">
        <w:t>Figure</w:t>
      </w:r>
      <w:r>
        <w:t xml:space="preserve"> 3</w:t>
      </w:r>
      <w:r w:rsidR="003A52DC">
        <w:t>B</w:t>
      </w:r>
      <w:r>
        <w:t>). The data are then fit by linear regression to determine the slope and intercept of the line (as detailed in the</w:t>
      </w:r>
      <w:r w:rsidR="00B11183">
        <w:t xml:space="preserve"> supplementary file</w:t>
      </w:r>
      <w:r>
        <w:t xml:space="preserve"> “</w:t>
      </w:r>
      <w:hyperlink r:id="rId16" w:history="1">
        <w:r w:rsidR="00C20375" w:rsidRPr="00B11183">
          <w:rPr>
            <w:rStyle w:val="Hyperlink"/>
            <w:highlight w:val="red"/>
          </w:rPr>
          <w:t>Association data analysis</w:t>
        </w:r>
      </w:hyperlink>
      <w:r>
        <w:t>”).</w:t>
      </w:r>
      <w:r w:rsidR="00012723">
        <w:t xml:space="preserve"> </w:t>
      </w:r>
      <w:r>
        <w:t xml:space="preserve">The </w:t>
      </w:r>
      <w:r w:rsidR="001503F1" w:rsidRPr="001503F1">
        <w:rPr>
          <w:i/>
          <w:iCs/>
        </w:rPr>
        <w:t>k</w:t>
      </w:r>
      <w:r w:rsidR="001503F1" w:rsidRPr="001503F1">
        <w:rPr>
          <w:vertAlign w:val="subscript"/>
        </w:rPr>
        <w:t>1</w:t>
      </w:r>
      <w:r>
        <w:t xml:space="preserve"> value is the gradient of the line. Applying this analysis to the data in </w:t>
      </w:r>
      <w:r w:rsidR="00900795">
        <w:t>Figure</w:t>
      </w:r>
      <w:r>
        <w:t xml:space="preserve"> 3 gives a </w:t>
      </w:r>
      <w:r w:rsidR="001503F1" w:rsidRPr="001503F1">
        <w:rPr>
          <w:i/>
          <w:iCs/>
        </w:rPr>
        <w:t>k</w:t>
      </w:r>
      <w:r w:rsidR="001503F1" w:rsidRPr="001503F1">
        <w:rPr>
          <w:vertAlign w:val="subscript"/>
        </w:rPr>
        <w:t>1</w:t>
      </w:r>
      <w:r>
        <w:t xml:space="preserve"> value of 1.0</w:t>
      </w:r>
      <w:r w:rsidR="00012723">
        <w:t xml:space="preserve"> </w:t>
      </w:r>
      <w:r w:rsidR="00012723">
        <w:sym w:font="Symbol" w:char="F0B4"/>
      </w:r>
      <w:r w:rsidR="00012723">
        <w:t xml:space="preserve"> 10</w:t>
      </w:r>
      <w:r w:rsidR="00012723">
        <w:rPr>
          <w:vertAlign w:val="superscript"/>
        </w:rPr>
        <w:t>7</w:t>
      </w:r>
      <w:r w:rsidR="003B535A" w:rsidRPr="003B535A">
        <w:rPr>
          <w:rFonts w:ascii="Segoe UI" w:hAnsi="Segoe UI" w:cs="Segoe UI"/>
          <w:color w:val="000000"/>
          <w:sz w:val="20"/>
          <w:szCs w:val="20"/>
        </w:rPr>
        <w:t xml:space="preserve"> </w:t>
      </w:r>
      <w:r w:rsidR="003B535A">
        <w:rPr>
          <w:rFonts w:ascii="Segoe UI" w:hAnsi="Segoe UI" w:cs="Segoe UI"/>
          <w:color w:val="000000"/>
          <w:sz w:val="20"/>
          <w:szCs w:val="20"/>
        </w:rPr>
        <w:t>M</w:t>
      </w:r>
      <w:r w:rsidR="003B535A">
        <w:rPr>
          <w:rFonts w:ascii="Segoe UI" w:hAnsi="Segoe UI" w:cs="Segoe UI"/>
          <w:color w:val="000000"/>
          <w:sz w:val="20"/>
          <w:szCs w:val="20"/>
          <w:vertAlign w:val="superscript"/>
        </w:rPr>
        <w:t>-1</w:t>
      </w:r>
      <w:r w:rsidR="003B535A">
        <w:rPr>
          <w:rFonts w:ascii="Segoe UI" w:hAnsi="Segoe UI" w:cs="Segoe UI"/>
          <w:color w:val="000000"/>
          <w:sz w:val="20"/>
          <w:szCs w:val="20"/>
        </w:rPr>
        <w:t>min</w:t>
      </w:r>
      <w:r w:rsidR="003B535A">
        <w:rPr>
          <w:rFonts w:ascii="Segoe UI" w:hAnsi="Segoe UI" w:cs="Segoe UI"/>
          <w:color w:val="000000"/>
          <w:sz w:val="20"/>
          <w:szCs w:val="20"/>
          <w:vertAlign w:val="superscript"/>
        </w:rPr>
        <w:t>-1</w:t>
      </w:r>
      <w:r w:rsidR="00012723">
        <w:t>.</w:t>
      </w:r>
      <w:r w:rsidR="00A139F4">
        <w:t xml:space="preserve"> This analysis assumes the experiment works ideally. Box 2 details troubleshooting tips when the data do not conform to the ideal.</w:t>
      </w:r>
    </w:p>
    <w:p w14:paraId="1DAD145B" w14:textId="7DBE0337" w:rsidR="00012723" w:rsidRDefault="00012723" w:rsidP="00B70CDE">
      <w:r>
        <w:tab/>
      </w:r>
      <w:r w:rsidR="00CA3B13">
        <w:t>The underlying theory of this second step is the equation defining the observed association rate. This equation, derived in the Appendix, is:</w:t>
      </w:r>
    </w:p>
    <w:p w14:paraId="7D8E5913" w14:textId="77777777" w:rsidR="003A52DC" w:rsidRDefault="003A52DC" w:rsidP="00B70CDE"/>
    <w:p w14:paraId="765294C5" w14:textId="000831D4" w:rsidR="00CA3B13" w:rsidRPr="00CA3B13" w:rsidRDefault="00CF1AF2" w:rsidP="00830F76">
      <w:pPr>
        <w:pStyle w:val="Equation"/>
        <w:rPr>
          <w:rFonts w:eastAsiaTheme="minorEastAsia"/>
        </w:rPr>
      </w:pPr>
      <m:oMathPara>
        <m:oMath>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obs</m:t>
              </m:r>
            </m:sub>
          </m:sSub>
          <m:r>
            <m:rPr>
              <m:sty m:val="p"/>
            </m:rPr>
            <w:rPr>
              <w:rFonts w:ascii="Cambria Math" w:eastAsiaTheme="minorEastAsia" w:hAnsi="Cambria Math"/>
            </w:rPr>
            <m:t>=</m:t>
          </m:r>
          <m:d>
            <m:dPr>
              <m:begChr m:val="["/>
              <m:endChr m:val="]"/>
              <m:ctrlPr>
                <w:rPr>
                  <w:rFonts w:ascii="Cambria Math" w:eastAsiaTheme="minorEastAsia" w:hAnsi="Cambria Math"/>
                </w:rPr>
              </m:ctrlPr>
            </m:dPr>
            <m:e>
              <m:r>
                <m:rPr>
                  <m:sty m:val="p"/>
                </m:rPr>
                <w:rPr>
                  <w:rFonts w:ascii="Cambria Math" w:eastAsiaTheme="minorEastAsia" w:hAnsi="Cambria Math"/>
                </w:rPr>
                <m:t>L</m:t>
              </m:r>
            </m:e>
          </m:d>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1</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2</m:t>
              </m:r>
            </m:sub>
          </m:sSub>
        </m:oMath>
      </m:oMathPara>
    </w:p>
    <w:p w14:paraId="15DFE3EF" w14:textId="77777777" w:rsidR="00CA3B13" w:rsidRDefault="00CA3B13" w:rsidP="00B70CDE"/>
    <w:p w14:paraId="0FA61FD9" w14:textId="60E3F769" w:rsidR="00CA3B13" w:rsidRDefault="00CA3B13" w:rsidP="00B70CDE">
      <w:r>
        <w:t xml:space="preserve">This is a straight line equation of the </w:t>
      </w:r>
      <w:proofErr w:type="gramStart"/>
      <w:r>
        <w:t xml:space="preserve">form </w:t>
      </w:r>
      <w:proofErr w:type="gramEnd"/>
      <m:oMath>
        <m:r>
          <w:rPr>
            <w:rFonts w:ascii="Cambria Math" w:hAnsi="Cambria Math"/>
          </w:rPr>
          <m:t>y=mx+c</m:t>
        </m:r>
      </m:oMath>
      <w:r>
        <w:t xml:space="preserve">, where the gradient </w:t>
      </w:r>
      <w:r w:rsidRPr="003A52DC">
        <w:rPr>
          <w:i/>
          <w:iCs/>
        </w:rPr>
        <w:t>m</w:t>
      </w:r>
      <w:r>
        <w:t xml:space="preserve"> is equal to </w:t>
      </w:r>
      <w:r w:rsidR="001503F1" w:rsidRPr="001503F1">
        <w:rPr>
          <w:i/>
          <w:iCs/>
        </w:rPr>
        <w:t>k</w:t>
      </w:r>
      <w:r w:rsidR="001503F1" w:rsidRPr="001503F1">
        <w:rPr>
          <w:vertAlign w:val="subscript"/>
        </w:rPr>
        <w:t>1</w:t>
      </w:r>
      <w:r>
        <w:t xml:space="preserve">. This equation also indicates something interesting. The dissociation rate constant </w:t>
      </w:r>
      <w:proofErr w:type="gramStart"/>
      <w:r w:rsidR="006B589F">
        <w:rPr>
          <w:i/>
          <w:iCs/>
        </w:rPr>
        <w:t>k</w:t>
      </w:r>
      <w:r w:rsidR="006B589F" w:rsidRPr="006B589F">
        <w:rPr>
          <w:vertAlign w:val="subscript"/>
        </w:rPr>
        <w:t>2</w:t>
      </w:r>
      <w:proofErr w:type="gramEnd"/>
      <w:r>
        <w:t xml:space="preserve"> can in principle</w:t>
      </w:r>
      <w:r w:rsidR="000B6DFD">
        <w:t>,</w:t>
      </w:r>
      <w:r>
        <w:t xml:space="preserve"> also be estimated from this analysis – visual inspection of the equations indicates it is the y intercept of the </w:t>
      </w:r>
      <w:r>
        <w:lastRenderedPageBreak/>
        <w:t xml:space="preserve">straight line equation. However, this approach is not advised for measuring </w:t>
      </w:r>
      <w:proofErr w:type="gramStart"/>
      <w:r w:rsidR="006B589F">
        <w:rPr>
          <w:i/>
          <w:iCs/>
        </w:rPr>
        <w:t>k</w:t>
      </w:r>
      <w:r w:rsidR="006B589F" w:rsidRPr="006B589F">
        <w:rPr>
          <w:vertAlign w:val="subscript"/>
        </w:rPr>
        <w:t>2</w:t>
      </w:r>
      <w:proofErr w:type="gramEnd"/>
      <w:r>
        <w:t xml:space="preserve"> – it is better to measure this parameter directly using a dissociation experiment, as described next.</w:t>
      </w:r>
    </w:p>
    <w:p w14:paraId="2B5B70FB" w14:textId="6E0A1B1B" w:rsidR="008338F7" w:rsidRDefault="008338F7" w:rsidP="00B70CDE"/>
    <w:p w14:paraId="14BED76B" w14:textId="0355468A" w:rsidR="008338F7" w:rsidRDefault="008338F7" w:rsidP="00B70CDE"/>
    <w:p w14:paraId="488DCF44" w14:textId="77777777" w:rsidR="008338F7" w:rsidRDefault="008338F7" w:rsidP="00B70CDE"/>
    <w:p w14:paraId="7742059D" w14:textId="141793F0" w:rsidR="00E66AE0" w:rsidRDefault="00830F76" w:rsidP="00180634">
      <w:pPr>
        <w:pStyle w:val="Heading3"/>
      </w:pPr>
      <w:bookmarkStart w:id="8" w:name="_Dissociation_Rate_Constant"/>
      <w:bookmarkEnd w:id="8"/>
      <w:r w:rsidRPr="00830F76">
        <w:t>Dissociation Rate Constant from a Direct Target-Ligand Binding Assay</w:t>
      </w:r>
    </w:p>
    <w:p w14:paraId="28BF6E9B" w14:textId="24976FDB" w:rsidR="00FB56BE" w:rsidRDefault="00FB56BE" w:rsidP="00B70CDE">
      <w:r>
        <w:tab/>
        <w:t xml:space="preserve">Measuring dissociation of ligand from </w:t>
      </w:r>
      <w:r w:rsidR="00E27A25">
        <w:t xml:space="preserve">a </w:t>
      </w:r>
      <w:r>
        <w:t>target requires a two-step assay. First, the target-ligand complex needs to form</w:t>
      </w:r>
      <w:r w:rsidR="005B7D96">
        <w:t>.</w:t>
      </w:r>
      <w:r>
        <w:t xml:space="preserve"> </w:t>
      </w:r>
      <w:r w:rsidR="005B7D96">
        <w:t>L</w:t>
      </w:r>
      <w:r>
        <w:t xml:space="preserve">igand and target are incubated together </w:t>
      </w:r>
      <w:r w:rsidR="00E27A25">
        <w:t>for a</w:t>
      </w:r>
      <w:r>
        <w:t xml:space="preserve"> sufficient time, usually until equilibrium has been </w:t>
      </w:r>
      <w:r w:rsidR="007755F0">
        <w:t>approached</w:t>
      </w:r>
      <w:r>
        <w:t xml:space="preserve"> (the plateau of the association curve). </w:t>
      </w:r>
      <w:r w:rsidR="005B7D96">
        <w:t>In the n</w:t>
      </w:r>
      <w:r>
        <w:t>ext</w:t>
      </w:r>
      <w:r w:rsidR="005B7D96">
        <w:t xml:space="preserve"> phase</w:t>
      </w:r>
      <w:r>
        <w:t>, the dissociation</w:t>
      </w:r>
      <w:r w:rsidR="005B7D96">
        <w:t xml:space="preserve"> of ligand from </w:t>
      </w:r>
      <w:r w:rsidR="00E27A25">
        <w:t xml:space="preserve">the </w:t>
      </w:r>
      <w:r w:rsidR="005B7D96">
        <w:t>target</w:t>
      </w:r>
      <w:r>
        <w:t xml:space="preserve"> is measured</w:t>
      </w:r>
      <w:r w:rsidR="005B7D96">
        <w:t>.</w:t>
      </w:r>
      <w:r>
        <w:t xml:space="preserve"> </w:t>
      </w:r>
      <w:r w:rsidR="005B7D96">
        <w:t>T</w:t>
      </w:r>
      <w:r>
        <w:t>his is initiated by an experimental intervention that stops association of the ligand with the target. With association blocked, the only process that takes place is dissociation</w:t>
      </w:r>
      <w:r w:rsidR="005B7D96">
        <w:t>.</w:t>
      </w:r>
      <w:r>
        <w:t xml:space="preserve"> </w:t>
      </w:r>
      <w:r w:rsidR="005B7D96">
        <w:t>T</w:t>
      </w:r>
      <w:r>
        <w:t>his results in a decrease of the target-ligand complex concentration over time</w:t>
      </w:r>
      <w:r w:rsidR="005B7D96">
        <w:t xml:space="preserve"> (</w:t>
      </w:r>
      <w:r w:rsidR="00900795">
        <w:t>Figure</w:t>
      </w:r>
      <w:r w:rsidR="005B7D96">
        <w:t xml:space="preserve"> 2B)</w:t>
      </w:r>
      <w:r>
        <w:t>. In this way, the rate of dissociation can be quantified.</w:t>
      </w:r>
      <w:r w:rsidR="001E3F3A">
        <w:t xml:space="preserve"> This is usually done for a single concentration of ligand</w:t>
      </w:r>
      <w:r w:rsidR="0032544B">
        <w:t>,</w:t>
      </w:r>
      <w:r w:rsidR="001E3F3A">
        <w:t xml:space="preserve"> at a concentration suitable to obtain sufficient signal</w:t>
      </w:r>
      <w:r w:rsidR="0032544B">
        <w:t xml:space="preserve">, typically 3-fold the </w:t>
      </w:r>
      <w:proofErr w:type="spellStart"/>
      <w:proofErr w:type="gramStart"/>
      <w:r w:rsidR="0032544B" w:rsidRPr="0032544B">
        <w:rPr>
          <w:i/>
          <w:iCs/>
        </w:rPr>
        <w:t>K</w:t>
      </w:r>
      <w:r w:rsidR="0032544B" w:rsidRPr="0032544B">
        <w:rPr>
          <w:vertAlign w:val="subscript"/>
        </w:rPr>
        <w:t>d</w:t>
      </w:r>
      <w:proofErr w:type="spellEnd"/>
      <w:proofErr w:type="gramEnd"/>
      <w:r w:rsidR="0032544B">
        <w:t xml:space="preserve"> concentration.</w:t>
      </w:r>
    </w:p>
    <w:p w14:paraId="2142F617" w14:textId="60AAEFEF" w:rsidR="00E66AE0" w:rsidRDefault="00FB56BE" w:rsidP="00FB56BE">
      <w:pPr>
        <w:ind w:firstLine="720"/>
      </w:pPr>
      <w:r>
        <w:t xml:space="preserve">The intervention that </w:t>
      </w:r>
      <w:r w:rsidR="007755F0">
        <w:rPr>
          <w:rFonts w:ascii="Segoe UI" w:hAnsi="Segoe UI" w:cs="Segoe UI"/>
          <w:color w:val="000000"/>
          <w:sz w:val="20"/>
          <w:szCs w:val="20"/>
        </w:rPr>
        <w:t>initiates the dissociation phase</w:t>
      </w:r>
      <w:r>
        <w:t xml:space="preserve"> is of two types: 1) If the ligand is labeled, </w:t>
      </w:r>
      <w:r w:rsidR="00264AAD">
        <w:t>an</w:t>
      </w:r>
      <w:r>
        <w:t xml:space="preserve"> excess </w:t>
      </w:r>
      <w:r w:rsidR="00264AAD">
        <w:t xml:space="preserve">of </w:t>
      </w:r>
      <w:r>
        <w:t>unlabeled ligand</w:t>
      </w:r>
      <w:r w:rsidR="00264AAD">
        <w:t xml:space="preserve"> is added</w:t>
      </w:r>
      <w:r>
        <w:t xml:space="preserve">. The excess prevents association </w:t>
      </w:r>
      <w:r w:rsidR="00264AAD">
        <w:t xml:space="preserve">by out-competing the labeled ligand for binding to the target. The concentration of unlabeled ligand used is 100-300-fold the </w:t>
      </w:r>
      <w:r w:rsidR="008C6534">
        <w:t>IC</w:t>
      </w:r>
      <w:r w:rsidR="008C6534" w:rsidRPr="008C6534">
        <w:rPr>
          <w:vertAlign w:val="subscript"/>
        </w:rPr>
        <w:t>50</w:t>
      </w:r>
      <w:r w:rsidR="00264AAD">
        <w:t xml:space="preserve"> for the ligand in a competition binding assay versus the labeled ligand. 2) Washout of the labeled ligand. With one exception, this method is not recommended because it is challenging to determine that the labeled ligand has been completely washed out, especially in cell membrane-based binding assays employing hydrophobic ligands. The exception is SPR assays, in which washing of the surface is a continuous default process in the assay modality</w:t>
      </w:r>
      <w:r w:rsidR="008F7599">
        <w:t xml:space="preserve"> (27)</w:t>
      </w:r>
      <w:r w:rsidR="00264AAD">
        <w:t>. In SPR assays, dissociation is initiated by the washout method.</w:t>
      </w:r>
    </w:p>
    <w:p w14:paraId="4E6501E1" w14:textId="22EBC410" w:rsidR="0061612A" w:rsidRDefault="001E3F3A" w:rsidP="0061612A">
      <w:pPr>
        <w:ind w:firstLine="720"/>
      </w:pPr>
      <w:r>
        <w:t xml:space="preserve">Representative data </w:t>
      </w:r>
      <w:r w:rsidR="007755F0">
        <w:t>are</w:t>
      </w:r>
      <w:r>
        <w:t xml:space="preserve"> shown in </w:t>
      </w:r>
      <w:r w:rsidR="00900795">
        <w:t>Figure</w:t>
      </w:r>
      <w:r>
        <w:t xml:space="preserve"> </w:t>
      </w:r>
      <w:r w:rsidR="00ED4FA6">
        <w:t>2</w:t>
      </w:r>
      <w:r w:rsidR="005B7D96">
        <w:t>B</w:t>
      </w:r>
      <w:r>
        <w:t>.</w:t>
      </w:r>
      <w:r w:rsidR="005B7D96">
        <w:t xml:space="preserve"> These </w:t>
      </w:r>
      <w:r w:rsidR="0032544B">
        <w:t xml:space="preserve">binding </w:t>
      </w:r>
      <w:r w:rsidR="005B7D96">
        <w:t>data are specific tracer binding, i.e. data from which nonspecific binding has been subtracted</w:t>
      </w:r>
      <w:r w:rsidR="00BE01C8">
        <w:t>.</w:t>
      </w:r>
      <w:r w:rsidR="005B7D96">
        <w:t xml:space="preserve"> (</w:t>
      </w:r>
      <w:r w:rsidR="00BE01C8">
        <w:t>I</w:t>
      </w:r>
      <w:r w:rsidR="00A61275">
        <w:t xml:space="preserve">t </w:t>
      </w:r>
      <w:r w:rsidR="005B7D96">
        <w:t>is good practice to measure and subtract nonspecific binding at each time point</w:t>
      </w:r>
      <w:r w:rsidR="00BE01C8">
        <w:t>.</w:t>
      </w:r>
      <w:r w:rsidR="005B7D96">
        <w:t xml:space="preserve">) </w:t>
      </w:r>
      <w:r>
        <w:t>After the dissociation phase is initiated, the target binding signal declines, with the shape of the decline being the exponential decay curve</w:t>
      </w:r>
      <w:r w:rsidR="0032544B">
        <w:t xml:space="preserve"> (</w:t>
      </w:r>
      <w:r w:rsidR="00900795">
        <w:t>Figure</w:t>
      </w:r>
      <w:r w:rsidR="0032544B">
        <w:t xml:space="preserve"> 2B)</w:t>
      </w:r>
      <w:r>
        <w:t>. After sufficient time, the specific binding signal declines to zero</w:t>
      </w:r>
      <w:r w:rsidR="000C2E30">
        <w:t xml:space="preserve">, i.e. all the </w:t>
      </w:r>
      <w:r w:rsidR="00130AA6" w:rsidRPr="00130AA6">
        <w:t>target-ligand</w:t>
      </w:r>
      <w:r w:rsidR="000C2E30">
        <w:t xml:space="preserve"> complexes dissociate</w:t>
      </w:r>
      <w:r w:rsidR="000B6DFD">
        <w:t xml:space="preserve"> (see Box 3 for when the signal does not decline to zero)</w:t>
      </w:r>
      <w:r w:rsidR="000C2E30">
        <w:t>.</w:t>
      </w:r>
      <w:r w:rsidR="0061612A">
        <w:t xml:space="preserve"> It is desirable to determine the level of binding immediately before the initiation of the dissociation phase, if possible (giving the binding level at </w:t>
      </w:r>
      <w:r w:rsidR="0061612A" w:rsidRPr="005B7D96">
        <w:rPr>
          <w:i/>
          <w:iCs/>
        </w:rPr>
        <w:t>t</w:t>
      </w:r>
      <w:r w:rsidR="0061612A">
        <w:t xml:space="preserve"> = 0 of the dissociation phase). </w:t>
      </w:r>
    </w:p>
    <w:p w14:paraId="1FE6D7E6" w14:textId="6324C87B" w:rsidR="0061612A" w:rsidRDefault="001E3F3A" w:rsidP="0061612A">
      <w:pPr>
        <w:ind w:firstLine="720"/>
      </w:pPr>
      <w:r>
        <w:t xml:space="preserve">The data </w:t>
      </w:r>
      <w:r w:rsidR="0061612A">
        <w:t>analysis is simpler than that for association, requiring only a single step. All that is required is fitting the data to an exponential decay equation by nonlinear regression. The equation is Eq. 2, derived in the Appendix:</w:t>
      </w:r>
    </w:p>
    <w:p w14:paraId="307E9609" w14:textId="2F9F138E" w:rsidR="0061612A" w:rsidRDefault="0061612A" w:rsidP="0061612A"/>
    <w:p w14:paraId="6AA5F1E2" w14:textId="49CD6C75" w:rsidR="00F30282" w:rsidRPr="00BE01EC" w:rsidRDefault="00CF1AF2" w:rsidP="00BE01EC">
      <w:pPr>
        <w:pStyle w:val="Equation"/>
        <w:rPr>
          <w:rStyle w:val="LabelorNumber"/>
        </w:rPr>
      </w:pPr>
      <m:oMath>
        <m:d>
          <m:dPr>
            <m:begChr m:val="["/>
            <m:endChr m:val="]"/>
            <m:ctrlPr>
              <w:rPr>
                <w:rFonts w:ascii="Cambria Math" w:eastAsiaTheme="minorEastAsia" w:hAnsi="Cambria Math"/>
                <w:iCs/>
              </w:rPr>
            </m:ctrlPr>
          </m:dPr>
          <m:e>
            <m:r>
              <m:rPr>
                <m:sty m:val="p"/>
              </m:rPr>
              <w:rPr>
                <w:rFonts w:ascii="Cambria Math" w:eastAsiaTheme="minorEastAsia" w:hAnsi="Cambria Math"/>
              </w:rPr>
              <m:t>RL</m:t>
            </m:r>
          </m:e>
        </m:d>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RL]</m:t>
            </m:r>
          </m:e>
          <m:sub>
            <m:r>
              <w:rPr>
                <w:rFonts w:ascii="Cambria Math" w:eastAsiaTheme="minorEastAsia" w:hAnsi="Cambria Math"/>
              </w:rPr>
              <m:t>t</m:t>
            </m:r>
            <m:r>
              <m:rPr>
                <m:sty m:val="p"/>
              </m:rPr>
              <w:rPr>
                <w:rFonts w:ascii="Cambria Math" w:eastAsiaTheme="minorEastAsia" w:hAnsi="Cambria Math"/>
              </w:rPr>
              <m:t>0</m:t>
            </m:r>
          </m:sub>
        </m:sSub>
        <m:r>
          <m:rPr>
            <m:sty m:val="p"/>
          </m:rP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2</m:t>
                </m:r>
              </m:sub>
            </m:sSub>
            <m:r>
              <w:rPr>
                <w:rFonts w:ascii="Cambria Math" w:eastAsiaTheme="minorEastAsia" w:hAnsi="Cambria Math"/>
              </w:rPr>
              <m:t>t</m:t>
            </m:r>
          </m:sup>
        </m:sSup>
      </m:oMath>
      <w:r w:rsidR="00255624">
        <w:rPr>
          <w:rFonts w:eastAsiaTheme="minorEastAsia"/>
        </w:rPr>
        <w:tab/>
      </w:r>
      <w:r w:rsidR="00F30282" w:rsidRPr="00BE01EC">
        <w:rPr>
          <w:rStyle w:val="LabelorNumber"/>
          <w:rFonts w:eastAsiaTheme="minorEastAsia"/>
        </w:rPr>
        <w:t>Eq. 2</w:t>
      </w:r>
    </w:p>
    <w:p w14:paraId="09C57223" w14:textId="77777777" w:rsidR="0061612A" w:rsidRPr="0061612A" w:rsidRDefault="0061612A" w:rsidP="0061612A"/>
    <w:p w14:paraId="46D94DEA" w14:textId="28B7F07E" w:rsidR="0061612A" w:rsidRDefault="0061612A" w:rsidP="0061612A">
      <w:proofErr w:type="gramStart"/>
      <w:r>
        <w:t>where</w:t>
      </w:r>
      <w:proofErr w:type="gramEnd"/>
      <w:r>
        <w:t xml:space="preserve"> </w:t>
      </w:r>
      <m:oMath>
        <m:r>
          <w:rPr>
            <w:rFonts w:ascii="Cambria Math" w:hAnsi="Cambria Math"/>
          </w:rPr>
          <m:t>[</m:t>
        </m:r>
        <m:sSub>
          <m:sSubPr>
            <m:ctrlPr>
              <w:rPr>
                <w:rFonts w:ascii="Cambria Math" w:hAnsi="Cambria Math"/>
                <w:i/>
              </w:rPr>
            </m:ctrlPr>
          </m:sSubPr>
          <m:e>
            <m:r>
              <m:rPr>
                <m:sty m:val="p"/>
              </m:rPr>
              <w:rPr>
                <w:rFonts w:ascii="Cambria Math" w:hAnsi="Cambria Math"/>
              </w:rPr>
              <m:t>RL]</m:t>
            </m:r>
          </m:e>
          <m:sub>
            <m:r>
              <w:rPr>
                <w:rFonts w:ascii="Cambria Math" w:hAnsi="Cambria Math"/>
              </w:rPr>
              <m:t>t0</m:t>
            </m:r>
          </m:sub>
        </m:sSub>
      </m:oMath>
      <w:r>
        <w:t xml:space="preserve"> is the </w:t>
      </w:r>
      <w:r w:rsidR="00BE01C8">
        <w:t xml:space="preserve">concentration of </w:t>
      </w:r>
      <w:r w:rsidR="00130AA6">
        <w:t>target</w:t>
      </w:r>
      <w:r w:rsidR="00BE01C8">
        <w:t>-ligand complexes</w:t>
      </w:r>
      <w:r>
        <w:t xml:space="preserve"> immediately before initiation of the dissociation phase (the </w:t>
      </w:r>
      <w:r w:rsidRPr="005B7D96">
        <w:rPr>
          <w:i/>
          <w:iCs/>
        </w:rPr>
        <w:t>t</w:t>
      </w:r>
      <w:r>
        <w:t xml:space="preserve"> = 0 binding level) and </w:t>
      </w:r>
      <w:bookmarkStart w:id="9" w:name="OLE_LINK4"/>
      <w:r w:rsidR="00431CB2">
        <w:rPr>
          <w:i/>
          <w:iCs/>
        </w:rPr>
        <w:t>k</w:t>
      </w:r>
      <w:r w:rsidR="00431CB2" w:rsidRPr="006B589F">
        <w:rPr>
          <w:vertAlign w:val="subscript"/>
        </w:rPr>
        <w:t>2</w:t>
      </w:r>
      <w:r>
        <w:t xml:space="preserve"> </w:t>
      </w:r>
      <w:bookmarkEnd w:id="9"/>
      <w:r>
        <w:t xml:space="preserve">the dissociation rate constant. </w:t>
      </w:r>
      <w:r w:rsidR="00ED4FA6">
        <w:t xml:space="preserve">Analyzing the data in </w:t>
      </w:r>
      <w:r w:rsidR="00900795">
        <w:t>Figure</w:t>
      </w:r>
      <w:r w:rsidR="00ED4FA6">
        <w:t xml:space="preserve"> 2 gives a </w:t>
      </w:r>
      <w:proofErr w:type="gramStart"/>
      <w:r w:rsidR="00431CB2">
        <w:rPr>
          <w:i/>
          <w:iCs/>
        </w:rPr>
        <w:t>k</w:t>
      </w:r>
      <w:r w:rsidR="00431CB2" w:rsidRPr="006B589F">
        <w:rPr>
          <w:vertAlign w:val="subscript"/>
        </w:rPr>
        <w:t>2</w:t>
      </w:r>
      <w:proofErr w:type="gramEnd"/>
      <w:r w:rsidR="00ED4FA6">
        <w:t xml:space="preserve"> value of 0.086 min</w:t>
      </w:r>
      <w:r w:rsidR="00ED4FA6">
        <w:rPr>
          <w:vertAlign w:val="superscript"/>
        </w:rPr>
        <w:t>-1</w:t>
      </w:r>
      <w:r w:rsidR="00ED4FA6">
        <w:t xml:space="preserve">. This corresponds to a </w:t>
      </w:r>
      <w:r w:rsidR="00022060">
        <w:t>RT</w:t>
      </w:r>
      <w:r w:rsidR="00ED4FA6">
        <w:t xml:space="preserve"> of 1 / 0.086 = 12 min. </w:t>
      </w:r>
      <w:r>
        <w:t>The binding data used</w:t>
      </w:r>
      <w:r w:rsidR="00ED4FA6">
        <w:t xml:space="preserve"> in the analysis</w:t>
      </w:r>
      <w:r>
        <w:t xml:space="preserve"> is target-specific binding, as described above. This analysis can be done in commercially available software; Eq. </w:t>
      </w:r>
      <w:r w:rsidR="00ED4FA6">
        <w:t>2</w:t>
      </w:r>
      <w:r>
        <w:t xml:space="preserve"> or an analogous equation is built into these programs. A step-by-step guide using Prism is </w:t>
      </w:r>
      <w:r w:rsidR="000C2E30">
        <w:t>provided</w:t>
      </w:r>
      <w:r>
        <w:t xml:space="preserve"> in the </w:t>
      </w:r>
      <w:r w:rsidR="00B11183">
        <w:t>supplementary f</w:t>
      </w:r>
      <w:r w:rsidR="001173A2">
        <w:t>ile</w:t>
      </w:r>
      <w:r>
        <w:t xml:space="preserve"> “</w:t>
      </w:r>
      <w:hyperlink r:id="rId17" w:history="1">
        <w:r w:rsidR="00C20375" w:rsidRPr="00B11183">
          <w:rPr>
            <w:rStyle w:val="Hyperlink"/>
          </w:rPr>
          <w:t>Dissociation data analysis</w:t>
        </w:r>
      </w:hyperlink>
      <w:r>
        <w:t>.” The built-in equation in Prism is called, “One-phase decay.”</w:t>
      </w:r>
      <w:r w:rsidR="00F67842">
        <w:t xml:space="preserve"> (43)</w:t>
      </w:r>
      <w:r>
        <w:t xml:space="preserve"> Note this equation is formatted slightly differently from Eq. </w:t>
      </w:r>
      <w:r w:rsidR="00587AC3">
        <w:t>2</w:t>
      </w:r>
      <w:r>
        <w:t>.</w:t>
      </w:r>
      <w:r w:rsidR="00587AC3">
        <w:t xml:space="preserve"> It includes a baseline term called “Plateau” which is binding at infinite time (which is assumed to be zero in Eq. 2). </w:t>
      </w:r>
      <w:r>
        <w:t xml:space="preserve"> </w:t>
      </w:r>
      <w:r w:rsidR="00587AC3">
        <w:t>The rate term is called “</w:t>
      </w:r>
      <w:r>
        <w:t>K</w:t>
      </w:r>
      <w:r w:rsidR="00587AC3">
        <w:t>,”</w:t>
      </w:r>
      <w:r>
        <w:t xml:space="preserve"> </w:t>
      </w:r>
      <w:r w:rsidR="00587AC3">
        <w:t xml:space="preserve">which </w:t>
      </w:r>
      <w:r>
        <w:t>is equivalent to</w:t>
      </w:r>
      <w:r w:rsidR="00431CB2">
        <w:t xml:space="preserve"> </w:t>
      </w:r>
      <w:proofErr w:type="gramStart"/>
      <w:r w:rsidR="00431CB2">
        <w:rPr>
          <w:i/>
          <w:iCs/>
        </w:rPr>
        <w:t>k</w:t>
      </w:r>
      <w:r w:rsidR="00431CB2" w:rsidRPr="006B589F">
        <w:rPr>
          <w:vertAlign w:val="subscript"/>
        </w:rPr>
        <w:t>2</w:t>
      </w:r>
      <w:proofErr w:type="gramEnd"/>
      <w:r>
        <w:t>.</w:t>
      </w:r>
      <w:r w:rsidR="00587AC3">
        <w:t xml:space="preserve"> Troubleshooting the analysis is presented in Box 3.</w:t>
      </w:r>
    </w:p>
    <w:p w14:paraId="42630DE3" w14:textId="6D18A397" w:rsidR="005B7D96" w:rsidRDefault="005B7D96" w:rsidP="0061612A"/>
    <w:p w14:paraId="0E8A06F3" w14:textId="75F61684" w:rsidR="000C2E30" w:rsidRDefault="000C2E30"/>
    <w:p w14:paraId="78C000F3" w14:textId="2CCDA717" w:rsidR="0061612A" w:rsidRDefault="00830F76" w:rsidP="00830F76">
      <w:pPr>
        <w:pStyle w:val="Heading2"/>
      </w:pPr>
      <w:bookmarkStart w:id="10" w:name="_Competition_Kinetics:_Quantifying"/>
      <w:bookmarkEnd w:id="10"/>
      <w:r w:rsidRPr="00830F76">
        <w:t xml:space="preserve">Competition Kinetics: Quantifying Kinetics by Competition </w:t>
      </w:r>
      <w:proofErr w:type="gramStart"/>
      <w:r w:rsidRPr="00830F76">
        <w:t>Against</w:t>
      </w:r>
      <w:proofErr w:type="gramEnd"/>
      <w:r w:rsidRPr="00830F76">
        <w:t xml:space="preserve"> a Tracer Ligand</w:t>
      </w:r>
    </w:p>
    <w:p w14:paraId="5A6AA766" w14:textId="77777777" w:rsidR="005B21FD" w:rsidRPr="005B21FD" w:rsidRDefault="005B21FD" w:rsidP="005B21FD"/>
    <w:p w14:paraId="0260A0A1" w14:textId="37EF37D2" w:rsidR="00B87E7A" w:rsidRDefault="005B21FD" w:rsidP="00180634">
      <w:pPr>
        <w:pStyle w:val="Heading3"/>
      </w:pPr>
      <w:bookmarkStart w:id="11" w:name="_Introduction"/>
      <w:bookmarkEnd w:id="11"/>
      <w:r>
        <w:t>Introduction</w:t>
      </w:r>
    </w:p>
    <w:p w14:paraId="375C8431" w14:textId="3391E266" w:rsidR="00993619" w:rsidRDefault="000A6FF6" w:rsidP="00BC4148">
      <w:pPr>
        <w:ind w:firstLine="576"/>
      </w:pPr>
      <w:r>
        <w:t>The sections above assume a direct method for measuring ligand binding to the target. However, this is usually not the case</w:t>
      </w:r>
      <w:r w:rsidR="005B21FD">
        <w:t xml:space="preserve"> and</w:t>
      </w:r>
      <w:r>
        <w:t xml:space="preserve"> </w:t>
      </w:r>
      <w:r w:rsidR="005B21FD">
        <w:t>instead a</w:t>
      </w:r>
      <w:r>
        <w:t xml:space="preserve"> competition</w:t>
      </w:r>
      <w:r w:rsidR="005B21FD">
        <w:t xml:space="preserve"> assay is used, particularly in lead optimization campaigns when large numbers of compounds are being tested. </w:t>
      </w:r>
      <w:r>
        <w:t>Competition assays are</w:t>
      </w:r>
      <w:r w:rsidR="005B21FD">
        <w:t xml:space="preserve"> the</w:t>
      </w:r>
      <w:r>
        <w:t xml:space="preserve"> familiar</w:t>
      </w:r>
      <w:r w:rsidR="005B21FD">
        <w:t xml:space="preserve"> method for measuring ligand </w:t>
      </w:r>
      <w:r w:rsidR="005B7D96">
        <w:t>binding of unlabeled compounds</w:t>
      </w:r>
      <w:r w:rsidR="00F67842">
        <w:t xml:space="preserve"> (22)</w:t>
      </w:r>
      <w:r w:rsidR="005B7D96">
        <w:t>.</w:t>
      </w:r>
      <w:r>
        <w:t xml:space="preserve"> An unlabeled test ligand is incubated at various concentrations in competition with a tracer ligand for binding to the target. The test ligand inhibits tracer ligand binding and from this inhibition the binding of the test ligand can be determined.</w:t>
      </w:r>
      <w:r w:rsidR="005B7D96">
        <w:t xml:space="preserve"> This method is used to measure affinity (</w:t>
      </w:r>
      <w:r w:rsidR="005B7D96" w:rsidRPr="005B7D96">
        <w:rPr>
          <w:i/>
          <w:iCs/>
        </w:rPr>
        <w:t>K</w:t>
      </w:r>
      <w:r w:rsidR="005B7D96" w:rsidRPr="005B7D96">
        <w:rPr>
          <w:vertAlign w:val="subscript"/>
        </w:rPr>
        <w:t>i</w:t>
      </w:r>
      <w:r w:rsidR="005B7D96">
        <w:t>)</w:t>
      </w:r>
      <w:r w:rsidR="00830F76">
        <w:t xml:space="preserve"> (22)</w:t>
      </w:r>
      <w:r w:rsidR="003D1345">
        <w:t xml:space="preserve"> </w:t>
      </w:r>
      <w:r w:rsidR="005B7D96">
        <w:t>and is familiar to most investigators.</w:t>
      </w:r>
      <w:r>
        <w:t xml:space="preserve"> </w:t>
      </w:r>
      <w:r w:rsidR="00EC2BA7">
        <w:t>Fortunately, t</w:t>
      </w:r>
      <w:r>
        <w:t xml:space="preserve">he same approach can be used to measure the kinetics of the </w:t>
      </w:r>
      <w:r w:rsidR="007501DA">
        <w:t xml:space="preserve">unlabeled </w:t>
      </w:r>
      <w:r>
        <w:t xml:space="preserve">test </w:t>
      </w:r>
      <w:r w:rsidR="00EC2BA7">
        <w:t>compound</w:t>
      </w:r>
      <w:r w:rsidR="00413195">
        <w:t xml:space="preserve"> </w:t>
      </w:r>
      <w:r>
        <w:t>(association and dissociation rate constant</w:t>
      </w:r>
      <w:r w:rsidR="00130AA6">
        <w:t>s</w:t>
      </w:r>
      <w:r>
        <w:t>)</w:t>
      </w:r>
      <w:r w:rsidR="00480AFC">
        <w:t xml:space="preserve"> (</w:t>
      </w:r>
      <w:r w:rsidR="00900795">
        <w:t>Figure</w:t>
      </w:r>
      <w:r w:rsidR="00480AFC">
        <w:t xml:space="preserve"> 4)</w:t>
      </w:r>
      <w:r>
        <w:t xml:space="preserve">. </w:t>
      </w:r>
      <w:r w:rsidR="001A4AEB">
        <w:t>This method is called “kinetics of competitive binding” or “competition kinetics” and the original papers describing it are refs.</w:t>
      </w:r>
      <w:r w:rsidR="00130AA6">
        <w:t xml:space="preserve"> </w:t>
      </w:r>
      <w:r w:rsidR="00830F76">
        <w:t>(18</w:t>
      </w:r>
      <w:proofErr w:type="gramStart"/>
      <w:r w:rsidR="00830F76">
        <w:t>,19</w:t>
      </w:r>
      <w:proofErr w:type="gramEnd"/>
      <w:r w:rsidR="00830F76">
        <w:t>)</w:t>
      </w:r>
      <w:r w:rsidR="001A4AEB">
        <w:t xml:space="preserve">. </w:t>
      </w:r>
      <w:r>
        <w:t>The competition assay is run in kinetic mode;</w:t>
      </w:r>
      <w:r w:rsidR="003D1345">
        <w:t xml:space="preserve"> multiple concentrations of compound are tested at multiple time points</w:t>
      </w:r>
      <w:r>
        <w:t xml:space="preserve"> </w:t>
      </w:r>
      <w:r w:rsidR="005B21FD">
        <w:t>(</w:t>
      </w:r>
      <w:r w:rsidR="007D374E">
        <w:t>Fig</w:t>
      </w:r>
      <w:r w:rsidR="00EC2BA7">
        <w:t>s</w:t>
      </w:r>
      <w:r w:rsidR="003D1345">
        <w:t>.</w:t>
      </w:r>
      <w:r w:rsidR="005B21FD">
        <w:t xml:space="preserve"> 5</w:t>
      </w:r>
      <w:r w:rsidR="00EC2BA7">
        <w:t xml:space="preserve"> and 6</w:t>
      </w:r>
      <w:r w:rsidR="005B21FD">
        <w:t>).</w:t>
      </w:r>
      <w:r>
        <w:t xml:space="preserve"> The data are then fit to an equation</w:t>
      </w:r>
      <w:r w:rsidR="005B21FD">
        <w:t xml:space="preserve"> by nonlinear regression, in a program like Prism. The analysis provides estimates of the association and dissociation rate constant</w:t>
      </w:r>
      <w:r w:rsidR="009A0522">
        <w:t>s</w:t>
      </w:r>
      <w:r w:rsidR="005B21FD">
        <w:t xml:space="preserve"> of the test ligand.</w:t>
      </w:r>
      <w:r w:rsidR="00C25303">
        <w:t xml:space="preserve"> </w:t>
      </w:r>
      <w:r w:rsidR="007501DA">
        <w:t xml:space="preserve">Two recent papers have provided a detailed description and evaluation of </w:t>
      </w:r>
      <w:r w:rsidR="009A0522">
        <w:t xml:space="preserve">this </w:t>
      </w:r>
      <w:r w:rsidR="007501DA">
        <w:t>method and its sensitivity</w:t>
      </w:r>
      <w:r w:rsidR="009A0522">
        <w:t xml:space="preserve"> limits</w:t>
      </w:r>
      <w:r w:rsidR="00830F76">
        <w:t xml:space="preserve"> (45</w:t>
      </w:r>
      <w:proofErr w:type="gramStart"/>
      <w:r w:rsidR="00830F76">
        <w:t>,46</w:t>
      </w:r>
      <w:proofErr w:type="gramEnd"/>
      <w:r w:rsidR="00830F76">
        <w:t>)</w:t>
      </w:r>
      <w:r w:rsidR="00C25303">
        <w:t>.</w:t>
      </w:r>
      <w:r w:rsidR="007501DA">
        <w:t xml:space="preserve"> </w:t>
      </w:r>
      <w:r w:rsidR="00130AA6" w:rsidRPr="00130AA6">
        <w:t>For examples of the method's application see refs</w:t>
      </w:r>
      <w:r w:rsidR="00130AA6">
        <w:t>.</w:t>
      </w:r>
      <w:r w:rsidR="00130AA6" w:rsidRPr="00130AA6">
        <w:t xml:space="preserve"> </w:t>
      </w:r>
      <w:r w:rsidR="00130AA6">
        <w:t>(7</w:t>
      </w:r>
      <w:proofErr w:type="gramStart"/>
      <w:r w:rsidR="00130AA6">
        <w:t>,45,49,</w:t>
      </w:r>
      <w:r w:rsidR="00130AA6" w:rsidRPr="00130AA6">
        <w:t>50</w:t>
      </w:r>
      <w:proofErr w:type="gramEnd"/>
      <w:r w:rsidR="00130AA6">
        <w:t>)</w:t>
      </w:r>
    </w:p>
    <w:p w14:paraId="4CAC1FDF" w14:textId="2152A3DA" w:rsidR="005B21FD" w:rsidRDefault="005B21FD" w:rsidP="005029D6">
      <w:pPr>
        <w:ind w:firstLine="720"/>
      </w:pPr>
      <w:r>
        <w:t xml:space="preserve">The binding mechanism is shown in </w:t>
      </w:r>
      <w:r w:rsidR="00900795">
        <w:t>Figure</w:t>
      </w:r>
      <w:r>
        <w:t xml:space="preserve"> 4. Unlabeled test ligand </w:t>
      </w:r>
      <w:r w:rsidR="007501DA">
        <w:t>competitively</w:t>
      </w:r>
      <w:r>
        <w:t xml:space="preserve"> inhibit</w:t>
      </w:r>
      <w:r w:rsidR="007501DA">
        <w:t>s</w:t>
      </w:r>
      <w:r>
        <w:t xml:space="preserve"> tracer ligand binding to the target. Both ligands bind reversibly in a simple one-step bimolecular interaction. </w:t>
      </w:r>
      <w:r>
        <w:lastRenderedPageBreak/>
        <w:t xml:space="preserve">The rate constants are termed, by convention, </w:t>
      </w:r>
      <w:r w:rsidR="001503F1" w:rsidRPr="001503F1">
        <w:rPr>
          <w:i/>
          <w:iCs/>
        </w:rPr>
        <w:t>k</w:t>
      </w:r>
      <w:r w:rsidR="001503F1" w:rsidRPr="001503F1">
        <w:rPr>
          <w:vertAlign w:val="subscript"/>
        </w:rPr>
        <w:t>1</w:t>
      </w:r>
      <w:r>
        <w:t xml:space="preserve"> and </w:t>
      </w:r>
      <w:proofErr w:type="gramStart"/>
      <w:r w:rsidR="006B589F">
        <w:rPr>
          <w:i/>
          <w:iCs/>
        </w:rPr>
        <w:t>k</w:t>
      </w:r>
      <w:r w:rsidR="006B589F" w:rsidRPr="006B589F">
        <w:rPr>
          <w:vertAlign w:val="subscript"/>
        </w:rPr>
        <w:t>2</w:t>
      </w:r>
      <w:proofErr w:type="gramEnd"/>
      <w:r>
        <w:t xml:space="preserve"> for the tracer association and dissociation rate constant, respectively, with the corresponding terms being </w:t>
      </w:r>
      <w:r w:rsidR="00EC2BA7" w:rsidRPr="00EC2BA7">
        <w:rPr>
          <w:i/>
          <w:iCs/>
        </w:rPr>
        <w:t>k</w:t>
      </w:r>
      <w:r w:rsidR="00EC2BA7" w:rsidRPr="00EC2BA7">
        <w:rPr>
          <w:vertAlign w:val="subscript"/>
        </w:rPr>
        <w:t>3</w:t>
      </w:r>
      <w:r>
        <w:t xml:space="preserve"> and </w:t>
      </w:r>
      <w:r w:rsidR="00EC2BA7" w:rsidRPr="00EC2BA7">
        <w:rPr>
          <w:i/>
          <w:iCs/>
        </w:rPr>
        <w:t>k</w:t>
      </w:r>
      <w:r w:rsidR="00EC2BA7" w:rsidRPr="00EC2BA7">
        <w:rPr>
          <w:vertAlign w:val="subscript"/>
        </w:rPr>
        <w:t>4</w:t>
      </w:r>
      <w:r>
        <w:t xml:space="preserve"> for the unlabeled test ligand.</w:t>
      </w:r>
    </w:p>
    <w:p w14:paraId="6FBCEE13" w14:textId="7CCACACC" w:rsidR="00716A1C" w:rsidRDefault="00716A1C"/>
    <w:p w14:paraId="21C24D76" w14:textId="362266A8" w:rsidR="008C6534" w:rsidRDefault="008C6534" w:rsidP="005B21FD"/>
    <w:p w14:paraId="60C91D1C" w14:textId="77777777" w:rsidR="008C6534" w:rsidRDefault="008C6534" w:rsidP="005B21FD"/>
    <w:p w14:paraId="642DB080" w14:textId="69E2BDE2" w:rsidR="005B21FD" w:rsidRDefault="005B21FD" w:rsidP="00180634">
      <w:pPr>
        <w:pStyle w:val="Heading3"/>
      </w:pPr>
      <w:r>
        <w:t xml:space="preserve">Assay </w:t>
      </w:r>
      <w:r w:rsidR="003F5A77">
        <w:t>S</w:t>
      </w:r>
      <w:r>
        <w:t>etup</w:t>
      </w:r>
    </w:p>
    <w:p w14:paraId="149E7A5F" w14:textId="003BF43F" w:rsidR="005B21FD" w:rsidRDefault="0035796A" w:rsidP="005029D6">
      <w:pPr>
        <w:ind w:firstLine="720"/>
      </w:pPr>
      <w:r>
        <w:t>The typical assay consists of five conditions (</w:t>
      </w:r>
      <w:r w:rsidR="008C6534">
        <w:t>Box 4</w:t>
      </w:r>
      <w:r>
        <w:t xml:space="preserve">). Three concentrations of </w:t>
      </w:r>
      <w:r w:rsidR="00413195">
        <w:t xml:space="preserve">test compound </w:t>
      </w:r>
      <w:r>
        <w:t xml:space="preserve">are </w:t>
      </w:r>
      <w:r w:rsidR="00413195">
        <w:t xml:space="preserve">competed against the tracer ligand. </w:t>
      </w:r>
      <w:r w:rsidR="00927E1A">
        <w:t xml:space="preserve">There are two controls - </w:t>
      </w:r>
      <w:r w:rsidR="00EB4BF6">
        <w:t>tracer binding in the absence of test ligand</w:t>
      </w:r>
      <w:r w:rsidR="00927E1A">
        <w:t>, and</w:t>
      </w:r>
      <w:r w:rsidR="00EB4BF6">
        <w:t xml:space="preserve"> </w:t>
      </w:r>
      <w:r w:rsidR="00927E1A">
        <w:t xml:space="preserve">nonspecific binding </w:t>
      </w:r>
      <w:r w:rsidR="003D1345">
        <w:t>(</w:t>
      </w:r>
      <w:r w:rsidR="00927E1A">
        <w:t>measured at all time points</w:t>
      </w:r>
      <w:r w:rsidR="003D1345">
        <w:t>)</w:t>
      </w:r>
      <w:r>
        <w:t xml:space="preserve"> (</w:t>
      </w:r>
      <w:r w:rsidR="00900795">
        <w:t>Figure</w:t>
      </w:r>
      <w:r>
        <w:t xml:space="preserve"> 5)</w:t>
      </w:r>
      <w:r w:rsidR="00927E1A">
        <w:t xml:space="preserve">. </w:t>
      </w:r>
      <w:r w:rsidR="00413195">
        <w:t xml:space="preserve">The compound concentration range should span </w:t>
      </w:r>
      <w:r w:rsidR="00230DA2">
        <w:t xml:space="preserve">at least 25-75% inhibition of tracer binding at equilibrium. Consequently, a preliminary experiment needs to be done, an equilibrium binding assay to determine the </w:t>
      </w:r>
      <w:r w:rsidR="008C6534">
        <w:t>IC</w:t>
      </w:r>
      <w:r w:rsidR="008C6534" w:rsidRPr="008C6534">
        <w:rPr>
          <w:vertAlign w:val="subscript"/>
        </w:rPr>
        <w:t>50</w:t>
      </w:r>
      <w:r w:rsidR="00230DA2">
        <w:t xml:space="preserve"> of the test ligand. With the </w:t>
      </w:r>
      <w:r w:rsidR="008C6534">
        <w:t>IC</w:t>
      </w:r>
      <w:r w:rsidR="008C6534" w:rsidRPr="008C6534">
        <w:rPr>
          <w:vertAlign w:val="subscript"/>
        </w:rPr>
        <w:t>50</w:t>
      </w:r>
      <w:r w:rsidR="00230DA2">
        <w:t xml:space="preserve"> in hand, the ligand concentrations for the kinetic assay can be calculated. For three concentrations, the following calculation is used</w:t>
      </w:r>
    </w:p>
    <w:p w14:paraId="5EC32494" w14:textId="44123490" w:rsidR="00230DA2" w:rsidRDefault="00230DA2" w:rsidP="005029D6">
      <w:pPr>
        <w:ind w:firstLine="720"/>
      </w:pPr>
      <w:r>
        <w:t xml:space="preserve">25% inhibition – use 0.33-fold the </w:t>
      </w:r>
      <w:r w:rsidR="008C6534">
        <w:t>IC</w:t>
      </w:r>
      <w:r w:rsidR="008C6534" w:rsidRPr="008C6534">
        <w:rPr>
          <w:vertAlign w:val="subscript"/>
        </w:rPr>
        <w:t>50</w:t>
      </w:r>
      <w:r>
        <w:t xml:space="preserve"> concentration</w:t>
      </w:r>
    </w:p>
    <w:p w14:paraId="3978EE6E" w14:textId="3FB76970" w:rsidR="00230DA2" w:rsidRDefault="00230DA2" w:rsidP="005029D6">
      <w:pPr>
        <w:ind w:firstLine="720"/>
      </w:pPr>
      <w:r>
        <w:t xml:space="preserve">50% - </w:t>
      </w:r>
      <w:r w:rsidR="008C6534">
        <w:t>IC</w:t>
      </w:r>
      <w:r w:rsidR="008C6534" w:rsidRPr="008C6534">
        <w:rPr>
          <w:vertAlign w:val="subscript"/>
        </w:rPr>
        <w:t>50</w:t>
      </w:r>
      <w:r>
        <w:t xml:space="preserve"> concentration</w:t>
      </w:r>
    </w:p>
    <w:p w14:paraId="520715CB" w14:textId="210CFC81" w:rsidR="00230DA2" w:rsidRDefault="00230DA2" w:rsidP="005029D6">
      <w:pPr>
        <w:ind w:firstLine="720"/>
      </w:pPr>
      <w:r>
        <w:t xml:space="preserve">75% - 3-fold the </w:t>
      </w:r>
      <w:r w:rsidR="008C6534">
        <w:t>IC</w:t>
      </w:r>
      <w:r w:rsidR="008C6534" w:rsidRPr="008C6534">
        <w:rPr>
          <w:vertAlign w:val="subscript"/>
        </w:rPr>
        <w:t>50</w:t>
      </w:r>
      <w:r>
        <w:t>.</w:t>
      </w:r>
    </w:p>
    <w:p w14:paraId="7849D676" w14:textId="43F6E19B" w:rsidR="00EB4BF6" w:rsidRDefault="00230DA2" w:rsidP="00927E1A">
      <w:r>
        <w:t xml:space="preserve">So if the </w:t>
      </w:r>
      <w:r w:rsidR="008C6534">
        <w:t>IC</w:t>
      </w:r>
      <w:r w:rsidR="008C6534" w:rsidRPr="008C6534">
        <w:rPr>
          <w:vertAlign w:val="subscript"/>
        </w:rPr>
        <w:t>50</w:t>
      </w:r>
      <w:r>
        <w:t xml:space="preserve"> is 10 </w:t>
      </w:r>
      <w:proofErr w:type="spellStart"/>
      <w:r>
        <w:t>nM</w:t>
      </w:r>
      <w:proofErr w:type="spellEnd"/>
      <w:r>
        <w:t xml:space="preserve">, the concentrations will be 3.3, 10 and 30 </w:t>
      </w:r>
      <w:proofErr w:type="spellStart"/>
      <w:r>
        <w:t>nM</w:t>
      </w:r>
      <w:proofErr w:type="spellEnd"/>
      <w:r>
        <w:t>.</w:t>
      </w:r>
    </w:p>
    <w:p w14:paraId="3EF3CE60" w14:textId="632BFFF1" w:rsidR="002104A7" w:rsidRDefault="002104A7" w:rsidP="00230DA2">
      <w:r>
        <w:tab/>
        <w:t xml:space="preserve">The compound serial dilution needs to be precise. The kinetic analysis is particularly unforgiving of imprecise dilution, i.e. the concentration in the assay being different from that predicted by the serial dilution calculation. Use of low-binding </w:t>
      </w:r>
      <w:proofErr w:type="spellStart"/>
      <w:r>
        <w:t>plasticware</w:t>
      </w:r>
      <w:proofErr w:type="spellEnd"/>
      <w:r>
        <w:t xml:space="preserve"> is recommended, and serial dilution in the ideal solvent for the ligand is required (e.g. DMSO for small molecules).</w:t>
      </w:r>
    </w:p>
    <w:p w14:paraId="7D4E83A5" w14:textId="7EA7279C" w:rsidR="00EB4BF6" w:rsidRDefault="00EB4BF6" w:rsidP="00230DA2">
      <w:r>
        <w:tab/>
      </w:r>
      <w:r w:rsidR="00272505">
        <w:t xml:space="preserve">The concentration of tracer now needs to be selected. As a rule of thumb, a concentration 3-fold the </w:t>
      </w:r>
      <w:proofErr w:type="spellStart"/>
      <w:proofErr w:type="gramStart"/>
      <w:r w:rsidR="00BE2561" w:rsidRPr="00BE2561">
        <w:rPr>
          <w:i/>
          <w:iCs/>
        </w:rPr>
        <w:t>K</w:t>
      </w:r>
      <w:r w:rsidR="00BE2561" w:rsidRPr="00BE2561">
        <w:rPr>
          <w:vertAlign w:val="subscript"/>
        </w:rPr>
        <w:t>d</w:t>
      </w:r>
      <w:proofErr w:type="spellEnd"/>
      <w:proofErr w:type="gramEnd"/>
      <w:r w:rsidR="00272505">
        <w:t xml:space="preserve"> concentration is ideal. The tracer concentration</w:t>
      </w:r>
      <w:r w:rsidR="00927E1A">
        <w:t xml:space="preserve"> selection</w:t>
      </w:r>
      <w:r w:rsidR="00272505">
        <w:t xml:space="preserve"> is affected by three considerations. </w:t>
      </w:r>
      <w:r>
        <w:t xml:space="preserve"> First, sufficient signal is required for sufficient robustness of </w:t>
      </w:r>
      <w:r w:rsidR="00130AA6">
        <w:t xml:space="preserve">detection of </w:t>
      </w:r>
      <w:r>
        <w:t xml:space="preserve">the binding signal. Second, the speed of the association needs to be controlled. Speed of association is dependent on ligand concentration, as described </w:t>
      </w:r>
      <w:r w:rsidR="00F9224E">
        <w:t xml:space="preserve">in </w:t>
      </w:r>
      <w:hyperlink w:anchor="_Association_Rate_Constant" w:history="1">
        <w:r w:rsidR="00A64809" w:rsidRPr="00A64809">
          <w:rPr>
            <w:rStyle w:val="Hyperlink"/>
          </w:rPr>
          <w:t>Association Rate Constant from a Direct Target-Ligand Binding Assay</w:t>
        </w:r>
      </w:hyperlink>
      <w:r>
        <w:t xml:space="preserve"> and shown in </w:t>
      </w:r>
      <w:r w:rsidR="00900795">
        <w:t>Figure</w:t>
      </w:r>
      <w:r>
        <w:t xml:space="preserve"> 3. If the concentration is too high, the association will be too rapid for there to be sufficient data points on the early part of the curve, necessary to robustly quantify the kinetics. If the concentration is too low, the association will take too long to measure.</w:t>
      </w:r>
      <w:r w:rsidR="00272505">
        <w:t xml:space="preserve"> Ideally the concentration should allow at least </w:t>
      </w:r>
      <w:r w:rsidR="008C6534">
        <w:t>four</w:t>
      </w:r>
      <w:r w:rsidR="00272505">
        <w:t xml:space="preserve"> time points before the half-time of tracer association and at least 12 after, within the constraints of the workflow and instrumentation.</w:t>
      </w:r>
      <w:r>
        <w:t xml:space="preserve"> Third, “Zone A” needs to be satisfied – the ligand concentration needs to be high enough that at most 20% of the tracer ligand is bound at the end of the experiment (i.e. at the plateau).</w:t>
      </w:r>
      <w:r w:rsidR="00AB4FEF">
        <w:t xml:space="preserve"> This criteri</w:t>
      </w:r>
      <w:r w:rsidR="008C6534">
        <w:t>on</w:t>
      </w:r>
      <w:r w:rsidR="00AB4FEF">
        <w:t xml:space="preserve"> also applies to the unlabeled ligand (see Box 5, “Troubleshooting the competition kinetics assay”).</w:t>
      </w:r>
    </w:p>
    <w:p w14:paraId="4E5A9907" w14:textId="384C07AC" w:rsidR="00AB5AA1" w:rsidRDefault="00AB5AA1" w:rsidP="00230DA2">
      <w:r>
        <w:tab/>
        <w:t>Next, the duration of the time course needs to be selected.</w:t>
      </w:r>
      <w:r w:rsidR="00927E1A">
        <w:t xml:space="preserve"> At least four time points should be included before the half-time of the control association curve (absence of unlabeled compound). Then </w:t>
      </w:r>
      <w:r w:rsidR="00927E1A">
        <w:lastRenderedPageBreak/>
        <w:t>at least 1</w:t>
      </w:r>
      <w:r w:rsidR="008C6534">
        <w:t>2</w:t>
      </w:r>
      <w:r w:rsidR="00927E1A">
        <w:t xml:space="preserve"> time points after the half-time should be included. The last time point recommended</w:t>
      </w:r>
      <w:r w:rsidR="00F9224E">
        <w:t xml:space="preserve"> in exploratory experiments</w:t>
      </w:r>
      <w:r w:rsidR="00927E1A">
        <w:t xml:space="preserve"> is two hours. This will give sufficient time to quantify </w:t>
      </w:r>
      <w:r w:rsidR="00022060">
        <w:t>RT</w:t>
      </w:r>
      <w:r w:rsidR="00927E1A">
        <w:t xml:space="preserve">s of up to an hour. Longer </w:t>
      </w:r>
      <w:r w:rsidR="00022060">
        <w:t>RT</w:t>
      </w:r>
      <w:r w:rsidR="00927E1A">
        <w:t>s require longer time courses to quantify accurately</w:t>
      </w:r>
      <w:r w:rsidR="00830F76">
        <w:t xml:space="preserve"> (45</w:t>
      </w:r>
      <w:proofErr w:type="gramStart"/>
      <w:r w:rsidR="00830F76">
        <w:t>,46</w:t>
      </w:r>
      <w:proofErr w:type="gramEnd"/>
      <w:r w:rsidR="00830F76">
        <w:t>)</w:t>
      </w:r>
      <w:r w:rsidR="00927E1A">
        <w:t xml:space="preserve">. As a rough rule of thumb, the time course duration should be at least double the </w:t>
      </w:r>
      <w:r w:rsidR="00022060">
        <w:t>RT</w:t>
      </w:r>
      <w:r w:rsidR="00927E1A">
        <w:t xml:space="preserve"> of the unlabeled </w:t>
      </w:r>
      <w:r w:rsidR="008C6534">
        <w:t>compound</w:t>
      </w:r>
      <w:r w:rsidR="00927E1A">
        <w:t xml:space="preserve">. In </w:t>
      </w:r>
      <w:r w:rsidR="008C6534">
        <w:t>Box 4</w:t>
      </w:r>
      <w:r w:rsidR="00B203E3">
        <w:t>,</w:t>
      </w:r>
      <w:r w:rsidR="00927E1A">
        <w:t xml:space="preserve"> time points are presented that provide a guide for pilot experiments.</w:t>
      </w:r>
      <w:r w:rsidR="000D748F">
        <w:t xml:space="preserve"> A large number of time points is recommended to accurately quantify the rates. For this reason, continuous-read assay modalities such as fluorescent ligand binding are ideal</w:t>
      </w:r>
      <w:r w:rsidR="00830F76">
        <w:t xml:space="preserve"> (7</w:t>
      </w:r>
      <w:proofErr w:type="gramStart"/>
      <w:r w:rsidR="00830F76">
        <w:t>,15,28,29</w:t>
      </w:r>
      <w:proofErr w:type="gramEnd"/>
      <w:r w:rsidR="00830F76">
        <w:t>)</w:t>
      </w:r>
      <w:r w:rsidR="008C6534">
        <w:t>.</w:t>
      </w:r>
    </w:p>
    <w:p w14:paraId="546A4D90" w14:textId="0D2E643C" w:rsidR="00710C41" w:rsidRDefault="00710C41" w:rsidP="00230DA2"/>
    <w:p w14:paraId="27E10EBB" w14:textId="7FFEE669" w:rsidR="0035796A" w:rsidRDefault="0035796A" w:rsidP="00230DA2"/>
    <w:p w14:paraId="70DA391C" w14:textId="66FBD125" w:rsidR="0035796A" w:rsidRDefault="003F5A77" w:rsidP="00180634">
      <w:pPr>
        <w:pStyle w:val="Heading3"/>
      </w:pPr>
      <w:bookmarkStart w:id="12" w:name="_Data_Analysis"/>
      <w:bookmarkEnd w:id="12"/>
      <w:r>
        <w:t>Data A</w:t>
      </w:r>
      <w:r w:rsidR="0035796A">
        <w:t>nalysis</w:t>
      </w:r>
    </w:p>
    <w:p w14:paraId="02CB4B14" w14:textId="55E0F6A2" w:rsidR="00AB18E2" w:rsidRDefault="0035796A" w:rsidP="00F9224E">
      <w:pPr>
        <w:ind w:firstLine="360"/>
      </w:pPr>
      <w:r>
        <w:t xml:space="preserve">The goal of the data analysis is determination of </w:t>
      </w:r>
      <w:r w:rsidR="00EC2BA7" w:rsidRPr="00EC2BA7">
        <w:rPr>
          <w:i/>
          <w:iCs/>
        </w:rPr>
        <w:t>k</w:t>
      </w:r>
      <w:r w:rsidR="00EC2BA7" w:rsidRPr="00EC2BA7">
        <w:rPr>
          <w:vertAlign w:val="subscript"/>
        </w:rPr>
        <w:t>3</w:t>
      </w:r>
      <w:r>
        <w:t xml:space="preserve"> and </w:t>
      </w:r>
      <w:r w:rsidR="00EC2BA7" w:rsidRPr="00EC2BA7">
        <w:rPr>
          <w:i/>
          <w:iCs/>
        </w:rPr>
        <w:t>k</w:t>
      </w:r>
      <w:r w:rsidR="00EC2BA7" w:rsidRPr="00EC2BA7">
        <w:rPr>
          <w:vertAlign w:val="subscript"/>
        </w:rPr>
        <w:t>4</w:t>
      </w:r>
      <w:r>
        <w:t>, the association and dissociation rate constant of the unlabeled test compound.</w:t>
      </w:r>
      <w:r w:rsidR="00AB18E2">
        <w:t xml:space="preserve"> The analysis proceeds in a series of steps:</w:t>
      </w:r>
    </w:p>
    <w:p w14:paraId="59BEE828" w14:textId="77777777" w:rsidR="00447A38" w:rsidRDefault="00447A38" w:rsidP="00F9224E">
      <w:pPr>
        <w:ind w:firstLine="360"/>
      </w:pPr>
    </w:p>
    <w:p w14:paraId="5D4647CD" w14:textId="4A4BA938" w:rsidR="00AB18E2" w:rsidRDefault="00AB18E2" w:rsidP="00AB18E2">
      <w:pPr>
        <w:pStyle w:val="ListParagraph"/>
        <w:numPr>
          <w:ilvl w:val="0"/>
          <w:numId w:val="6"/>
        </w:numPr>
      </w:pPr>
      <w:r>
        <w:t>Subtraction of nonspecific binding.</w:t>
      </w:r>
    </w:p>
    <w:p w14:paraId="4C6D1C0B" w14:textId="433754B0" w:rsidR="00AB18E2" w:rsidRDefault="00AB18E2" w:rsidP="00AB18E2">
      <w:pPr>
        <w:pStyle w:val="ListParagraph"/>
        <w:numPr>
          <w:ilvl w:val="0"/>
          <w:numId w:val="6"/>
        </w:numPr>
      </w:pPr>
      <w:r>
        <w:t xml:space="preserve">Fitting the control curve to determine </w:t>
      </w:r>
      <w:r w:rsidR="001503F1" w:rsidRPr="001503F1">
        <w:rPr>
          <w:i/>
          <w:iCs/>
        </w:rPr>
        <w:t>k</w:t>
      </w:r>
      <w:r w:rsidR="001503F1" w:rsidRPr="001503F1">
        <w:rPr>
          <w:vertAlign w:val="subscript"/>
        </w:rPr>
        <w:t>1</w:t>
      </w:r>
      <w:r>
        <w:t>.</w:t>
      </w:r>
    </w:p>
    <w:p w14:paraId="4585186D" w14:textId="0BDD344E" w:rsidR="00AB18E2" w:rsidRDefault="00AB18E2" w:rsidP="00AB18E2">
      <w:pPr>
        <w:pStyle w:val="ListParagraph"/>
        <w:numPr>
          <w:ilvl w:val="0"/>
          <w:numId w:val="6"/>
        </w:numPr>
      </w:pPr>
      <w:r>
        <w:t xml:space="preserve">Fitting the test compound curves to determine </w:t>
      </w:r>
      <w:r w:rsidR="00EC2BA7" w:rsidRPr="00EC2BA7">
        <w:rPr>
          <w:i/>
          <w:iCs/>
        </w:rPr>
        <w:t>k</w:t>
      </w:r>
      <w:r w:rsidR="00EC2BA7" w:rsidRPr="00EC2BA7">
        <w:rPr>
          <w:vertAlign w:val="subscript"/>
        </w:rPr>
        <w:t>3</w:t>
      </w:r>
      <w:r>
        <w:t xml:space="preserve"> and </w:t>
      </w:r>
      <w:r w:rsidR="00EC2BA7" w:rsidRPr="00EC2BA7">
        <w:rPr>
          <w:i/>
          <w:iCs/>
        </w:rPr>
        <w:t>k</w:t>
      </w:r>
      <w:r w:rsidR="00EC2BA7" w:rsidRPr="00EC2BA7">
        <w:rPr>
          <w:vertAlign w:val="subscript"/>
        </w:rPr>
        <w:t>4</w:t>
      </w:r>
      <w:r>
        <w:t xml:space="preserve">. </w:t>
      </w:r>
    </w:p>
    <w:p w14:paraId="402C4BC8" w14:textId="77777777" w:rsidR="00447A38" w:rsidRDefault="00447A38" w:rsidP="00447A38">
      <w:pPr>
        <w:pStyle w:val="ListParagraph"/>
      </w:pPr>
    </w:p>
    <w:p w14:paraId="26A40ED5" w14:textId="32A1F2E8" w:rsidR="0035796A" w:rsidRDefault="0035796A" w:rsidP="00F9224E">
      <w:pPr>
        <w:ind w:firstLine="720"/>
      </w:pPr>
      <w:r>
        <w:t xml:space="preserve">The first step is the subtraction of nonspecific binding from the total binding signal and this is shown in </w:t>
      </w:r>
      <w:r w:rsidR="00900795">
        <w:t>Figure</w:t>
      </w:r>
      <w:r>
        <w:t xml:space="preserve"> 5. Nonspecific binding at a given time point is subtracted from the total binding value at that time point, giving the target-specific binding value. </w:t>
      </w:r>
    </w:p>
    <w:p w14:paraId="2B020890" w14:textId="77777777" w:rsidR="00F9224E" w:rsidRDefault="00F9224E" w:rsidP="00F9224E">
      <w:pPr>
        <w:ind w:firstLine="720"/>
      </w:pPr>
    </w:p>
    <w:p w14:paraId="175A73DD" w14:textId="041B9A57" w:rsidR="00F9224E" w:rsidRDefault="00F9224E" w:rsidP="00F9224E"/>
    <w:p w14:paraId="00877ABE" w14:textId="5E040A46" w:rsidR="00F9224E" w:rsidRDefault="00F9224E" w:rsidP="00F9224E">
      <w:pPr>
        <w:rPr>
          <w:sz w:val="20"/>
        </w:rPr>
      </w:pPr>
    </w:p>
    <w:p w14:paraId="4B5AE362" w14:textId="77777777" w:rsidR="00716A1C" w:rsidRPr="00F9224E" w:rsidRDefault="00716A1C" w:rsidP="00F9224E">
      <w:pPr>
        <w:rPr>
          <w:sz w:val="20"/>
        </w:rPr>
      </w:pPr>
    </w:p>
    <w:p w14:paraId="59C47F11" w14:textId="1DFC37A1" w:rsidR="0035796A" w:rsidRDefault="0035796A" w:rsidP="00447A38">
      <w:r>
        <w:tab/>
      </w:r>
      <w:r w:rsidR="003D1AC1">
        <w:t>The resulting specific binding data are now analyzed by nonlinear regression.</w:t>
      </w:r>
      <w:r w:rsidR="00447A38">
        <w:t xml:space="preserve"> For the analysis to work, certain parameter values need to be determined first. Specifically, </w:t>
      </w:r>
      <w:r w:rsidR="001503F1" w:rsidRPr="001503F1">
        <w:rPr>
          <w:i/>
          <w:iCs/>
        </w:rPr>
        <w:t>k</w:t>
      </w:r>
      <w:r w:rsidR="001503F1" w:rsidRPr="001503F1">
        <w:rPr>
          <w:vertAlign w:val="subscript"/>
        </w:rPr>
        <w:t>1</w:t>
      </w:r>
      <w:r>
        <w:t xml:space="preserve"> and </w:t>
      </w:r>
      <w:proofErr w:type="gramStart"/>
      <w:r w:rsidR="006B589F">
        <w:rPr>
          <w:i/>
          <w:iCs/>
        </w:rPr>
        <w:t>k</w:t>
      </w:r>
      <w:r w:rsidR="006B589F" w:rsidRPr="006B589F">
        <w:rPr>
          <w:vertAlign w:val="subscript"/>
        </w:rPr>
        <w:t>2</w:t>
      </w:r>
      <w:proofErr w:type="gramEnd"/>
      <w:r>
        <w:t xml:space="preserve"> (the association and dissociation rate constants of the tracer, respectively). </w:t>
      </w:r>
      <w:proofErr w:type="gramStart"/>
      <w:r w:rsidR="006B589F">
        <w:rPr>
          <w:i/>
          <w:iCs/>
        </w:rPr>
        <w:t>k</w:t>
      </w:r>
      <w:r w:rsidR="006B589F" w:rsidRPr="006B589F">
        <w:rPr>
          <w:vertAlign w:val="subscript"/>
        </w:rPr>
        <w:t>2</w:t>
      </w:r>
      <w:proofErr w:type="gramEnd"/>
      <w:r>
        <w:t xml:space="preserve"> is determined in a dissociation experiment which is run separately</w:t>
      </w:r>
      <w:r w:rsidR="00447A38">
        <w:t xml:space="preserve">, </w:t>
      </w:r>
      <w:r>
        <w:t>and is usually determined in the characterization of the tracer</w:t>
      </w:r>
      <w:r w:rsidR="00447A38">
        <w:t xml:space="preserve"> (</w:t>
      </w:r>
      <w:r w:rsidR="00B214E5">
        <w:t xml:space="preserve">see </w:t>
      </w:r>
      <w:hyperlink w:anchor="_Dissociation_Rate_Constant" w:history="1">
        <w:r w:rsidR="00B214E5" w:rsidRPr="00B214E5">
          <w:rPr>
            <w:rStyle w:val="Hyperlink"/>
          </w:rPr>
          <w:t>Dissociation Rate Constant from a Direct Target-Ligand Binding Assay</w:t>
        </w:r>
      </w:hyperlink>
      <w:r w:rsidR="00447A38">
        <w:t>)</w:t>
      </w:r>
      <w:r>
        <w:t>.</w:t>
      </w:r>
      <w:r w:rsidR="00AB18E2">
        <w:t xml:space="preserve"> </w:t>
      </w:r>
      <w:proofErr w:type="gramStart"/>
      <w:r w:rsidR="001503F1" w:rsidRPr="001503F1">
        <w:rPr>
          <w:i/>
          <w:iCs/>
        </w:rPr>
        <w:t>k</w:t>
      </w:r>
      <w:r w:rsidR="001503F1" w:rsidRPr="001503F1">
        <w:rPr>
          <w:vertAlign w:val="subscript"/>
        </w:rPr>
        <w:t>1</w:t>
      </w:r>
      <w:proofErr w:type="gramEnd"/>
      <w:r w:rsidR="00AB18E2">
        <w:t xml:space="preserve"> is handled differently. The </w:t>
      </w:r>
      <w:r w:rsidR="001503F1" w:rsidRPr="001503F1">
        <w:rPr>
          <w:i/>
          <w:iCs/>
        </w:rPr>
        <w:t>k</w:t>
      </w:r>
      <w:r w:rsidR="001503F1" w:rsidRPr="001503F1">
        <w:rPr>
          <w:vertAlign w:val="subscript"/>
        </w:rPr>
        <w:t>1</w:t>
      </w:r>
      <w:r w:rsidR="00AB18E2">
        <w:t xml:space="preserve"> value is </w:t>
      </w:r>
      <w:r w:rsidR="00447A38">
        <w:t xml:space="preserve">determined </w:t>
      </w:r>
      <w:r w:rsidR="00AB18E2">
        <w:t>within the experiment</w:t>
      </w:r>
      <w:r w:rsidR="00447A38">
        <w:t xml:space="preserve">, from the control (tracer binding without unlabeled compound). </w:t>
      </w:r>
      <w:r w:rsidR="00AB18E2">
        <w:t>This is done as follows. The control curve data are fitted to the following equation</w:t>
      </w:r>
      <w:r w:rsidR="00F6699C">
        <w:t xml:space="preserve"> (Eq. </w:t>
      </w:r>
      <w:r w:rsidR="00074400">
        <w:t>3</w:t>
      </w:r>
      <w:r w:rsidR="00F6699C">
        <w:t>)</w:t>
      </w:r>
      <w:r w:rsidR="00AB18E2">
        <w:t>:</w:t>
      </w:r>
    </w:p>
    <w:p w14:paraId="72C7F761" w14:textId="7C6A33F4" w:rsidR="00AB18E2" w:rsidRDefault="00AB18E2" w:rsidP="00230DA2"/>
    <w:p w14:paraId="579AB71D" w14:textId="6DA79397" w:rsidR="00F6699C" w:rsidRPr="00BE01EC" w:rsidRDefault="00CF1AF2" w:rsidP="00BE01EC">
      <w:pPr>
        <w:pStyle w:val="Equation"/>
        <w:rPr>
          <w:rStyle w:val="LabelorNumber"/>
        </w:rPr>
      </w:pPr>
      <m:oMath>
        <m:d>
          <m:dPr>
            <m:begChr m:val="["/>
            <m:endChr m:val="]"/>
            <m:ctrlPr>
              <w:rPr>
                <w:rFonts w:ascii="Cambria Math" w:eastAsiaTheme="minorEastAsia" w:hAnsi="Cambria Math"/>
                <w:iCs/>
              </w:rPr>
            </m:ctrlPr>
          </m:dPr>
          <m:e>
            <m:r>
              <m:rPr>
                <m:sty m:val="p"/>
              </m:rPr>
              <w:rPr>
                <w:rFonts w:ascii="Cambria Math" w:eastAsiaTheme="minorEastAsia" w:hAnsi="Cambria Math"/>
              </w:rPr>
              <m:t>RL</m:t>
            </m:r>
          </m:e>
        </m:d>
        <m:r>
          <m:rPr>
            <m:sty m:val="p"/>
          </m:rP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rPr>
                </m:ctrlPr>
              </m:sSubPr>
              <m:e>
                <m:r>
                  <m:rPr>
                    <m:sty m:val="p"/>
                  </m:rPr>
                  <w:rPr>
                    <w:rFonts w:ascii="Cambria Math" w:eastAsiaTheme="minorEastAsia" w:hAnsi="Cambria Math"/>
                  </w:rPr>
                  <m:t>B</m:t>
                </m:r>
              </m:e>
              <m:sub>
                <m:r>
                  <m:rPr>
                    <m:sty m:val="p"/>
                  </m:rPr>
                  <w:rPr>
                    <w:rFonts w:ascii="Cambria Math" w:eastAsiaTheme="minorEastAsia" w:hAnsi="Cambria Math"/>
                  </w:rPr>
                  <m:t>max</m:t>
                </m:r>
              </m:sub>
            </m:sSub>
            <m:r>
              <m:rPr>
                <m:sty m:val="p"/>
              </m:rPr>
              <w:rPr>
                <w:rFonts w:ascii="Cambria Math" w:eastAsiaTheme="minorEastAsia" w:hAnsi="Cambria Math"/>
              </w:rPr>
              <m:t>[L]</m:t>
            </m:r>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1</m:t>
                </m:r>
              </m:sub>
            </m:sSub>
          </m:num>
          <m:den>
            <m:d>
              <m:dPr>
                <m:begChr m:val="["/>
                <m:endChr m:val="]"/>
                <m:ctrlPr>
                  <w:rPr>
                    <w:rFonts w:ascii="Cambria Math" w:eastAsiaTheme="minorEastAsia" w:hAnsi="Cambria Math"/>
                  </w:rPr>
                </m:ctrlPr>
              </m:dPr>
              <m:e>
                <m:r>
                  <m:rPr>
                    <m:sty m:val="p"/>
                  </m:rPr>
                  <w:rPr>
                    <w:rFonts w:ascii="Cambria Math" w:eastAsiaTheme="minorEastAsia" w:hAnsi="Cambria Math"/>
                  </w:rPr>
                  <m:t>L</m:t>
                </m:r>
              </m:e>
            </m:d>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1</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2</m:t>
                </m:r>
              </m:sub>
            </m:sSub>
          </m:den>
        </m:f>
        <m:r>
          <m:rPr>
            <m:sty m:val="p"/>
          </m:rP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1-</m:t>
            </m:r>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d>
                  <m:dPr>
                    <m:ctrlPr>
                      <w:rPr>
                        <w:rFonts w:ascii="Cambria Math" w:eastAsiaTheme="minorEastAsia" w:hAnsi="Cambria Math"/>
                      </w:rPr>
                    </m:ctrlPr>
                  </m:dPr>
                  <m:e>
                    <m:d>
                      <m:dPr>
                        <m:begChr m:val="["/>
                        <m:endChr m:val="]"/>
                        <m:ctrlPr>
                          <w:rPr>
                            <w:rFonts w:ascii="Cambria Math" w:eastAsiaTheme="minorEastAsia" w:hAnsi="Cambria Math"/>
                          </w:rPr>
                        </m:ctrlPr>
                      </m:dPr>
                      <m:e>
                        <m:r>
                          <m:rPr>
                            <m:sty m:val="p"/>
                          </m:rPr>
                          <w:rPr>
                            <w:rFonts w:ascii="Cambria Math" w:eastAsiaTheme="minorEastAsia" w:hAnsi="Cambria Math"/>
                          </w:rPr>
                          <m:t>L</m:t>
                        </m:r>
                      </m:e>
                    </m:d>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1</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2</m:t>
                        </m:r>
                      </m:sub>
                    </m:sSub>
                  </m:e>
                </m:d>
                <m:r>
                  <w:rPr>
                    <w:rFonts w:ascii="Cambria Math" w:eastAsiaTheme="minorEastAsia" w:hAnsi="Cambria Math"/>
                  </w:rPr>
                  <m:t>t</m:t>
                </m:r>
              </m:sup>
            </m:sSup>
          </m:e>
        </m:d>
      </m:oMath>
      <w:r w:rsidR="00477631">
        <w:rPr>
          <w:rFonts w:eastAsiaTheme="minorEastAsia"/>
        </w:rPr>
        <w:tab/>
      </w:r>
      <w:r w:rsidR="00F6699C" w:rsidRPr="00BE01EC">
        <w:rPr>
          <w:rStyle w:val="LabelorNumber"/>
          <w:rFonts w:eastAsiaTheme="minorEastAsia"/>
        </w:rPr>
        <w:t xml:space="preserve">Eq. </w:t>
      </w:r>
      <w:r w:rsidR="00447A38" w:rsidRPr="00BE01EC">
        <w:rPr>
          <w:rStyle w:val="LabelorNumber"/>
          <w:rFonts w:eastAsiaTheme="minorEastAsia"/>
        </w:rPr>
        <w:t>3</w:t>
      </w:r>
    </w:p>
    <w:p w14:paraId="010B8CB4" w14:textId="77777777" w:rsidR="00447A38" w:rsidRDefault="00447A38" w:rsidP="00230DA2"/>
    <w:p w14:paraId="6AEAD6EB" w14:textId="4EB71D13" w:rsidR="00927E1A" w:rsidRDefault="00AB18E2" w:rsidP="00230DA2">
      <w:r>
        <w:lastRenderedPageBreak/>
        <w:t>This equation is built into Prism, named “</w:t>
      </w:r>
      <w:r w:rsidRPr="00AB18E2">
        <w:t>Association kinetics - One conc. of hot</w:t>
      </w:r>
      <w:r>
        <w:t>.”</w:t>
      </w:r>
      <w:r w:rsidR="00830F76">
        <w:t xml:space="preserve"> (47)</w:t>
      </w:r>
      <w:r w:rsidR="00EE4558">
        <w:t xml:space="preserve"> </w:t>
      </w:r>
      <w:r>
        <w:t xml:space="preserve">A step-by-step guide </w:t>
      </w:r>
      <w:r w:rsidR="00447A38">
        <w:t>on</w:t>
      </w:r>
      <w:r>
        <w:t xml:space="preserve"> how to use it is provided in the </w:t>
      </w:r>
      <w:bookmarkStart w:id="13" w:name="OLE_LINK5"/>
      <w:r w:rsidR="00B11183">
        <w:t xml:space="preserve">supplementary file </w:t>
      </w:r>
      <w:r>
        <w:t>“</w:t>
      </w:r>
      <w:hyperlink r:id="rId18" w:history="1">
        <w:r w:rsidR="00C20375" w:rsidRPr="000E5228">
          <w:rPr>
            <w:rStyle w:val="Hyperlink"/>
          </w:rPr>
          <w:t>Competition kinetics analysis</w:t>
        </w:r>
      </w:hyperlink>
      <w:r>
        <w:t>”</w:t>
      </w:r>
      <w:bookmarkEnd w:id="13"/>
      <w:r>
        <w:t xml:space="preserve">.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t xml:space="preserve"> </w:t>
      </w:r>
      <w:proofErr w:type="gramStart"/>
      <w:r>
        <w:t>and</w:t>
      </w:r>
      <w:proofErr w:type="gramEnd"/>
      <w:r>
        <w:t xml:space="preserve"> </w:t>
      </w:r>
      <m:oMath>
        <m:sSub>
          <m:sSubPr>
            <m:ctrlPr>
              <w:rPr>
                <w:rFonts w:ascii="Cambria Math" w:hAnsi="Cambria Math"/>
              </w:rPr>
            </m:ctrlPr>
          </m:sSubPr>
          <m:e>
            <m:r>
              <m:rPr>
                <m:sty m:val="p"/>
              </m:rPr>
              <w:rPr>
                <w:rFonts w:ascii="Cambria Math" w:hAnsi="Cambria Math"/>
              </w:rPr>
              <m:t>B</m:t>
            </m:r>
          </m:e>
          <m:sub>
            <m:r>
              <m:rPr>
                <m:sty m:val="p"/>
              </m:rPr>
              <w:rPr>
                <w:rFonts w:ascii="Cambria Math" w:hAnsi="Cambria Math"/>
              </w:rPr>
              <m:t>max</m:t>
            </m:r>
          </m:sub>
        </m:sSub>
      </m:oMath>
      <w:r>
        <w:t xml:space="preserve"> are fitted in the analysis and </w:t>
      </w:r>
      <m:oMath>
        <m:r>
          <w:rPr>
            <w:rFonts w:ascii="Cambria Math" w:hAnsi="Cambria Math"/>
          </w:rPr>
          <m:t>[</m:t>
        </m:r>
        <m:r>
          <m:rPr>
            <m:sty m:val="p"/>
          </m:rPr>
          <w:rPr>
            <w:rFonts w:ascii="Cambria Math" w:hAnsi="Cambria Math"/>
          </w:rPr>
          <m:t>L</m:t>
        </m:r>
        <m:r>
          <w:rPr>
            <w:rFonts w:ascii="Cambria Math" w:hAnsi="Cambria Math"/>
          </w:rPr>
          <m:t>]</m:t>
        </m:r>
      </m:oMath>
      <w:r>
        <w:t xml:space="preserve"> and </w:t>
      </w:r>
      <m:oMath>
        <m:sSub>
          <m:sSubPr>
            <m:ctrlPr>
              <w:rPr>
                <w:rFonts w:ascii="Cambria Math" w:hAnsi="Cambria Math"/>
                <w:i/>
              </w:rPr>
            </m:ctrlPr>
          </m:sSubPr>
          <m:e>
            <m:r>
              <w:rPr>
                <w:rFonts w:ascii="Cambria Math" w:hAnsi="Cambria Math"/>
              </w:rPr>
              <m:t>k</m:t>
            </m:r>
          </m:e>
          <m:sub>
            <m:r>
              <w:rPr>
                <w:rFonts w:ascii="Cambria Math" w:hAnsi="Cambria Math"/>
              </w:rPr>
              <m:t>2</m:t>
            </m:r>
          </m:sub>
        </m:sSub>
      </m:oMath>
      <w:r>
        <w:t xml:space="preserve"> are entered as constants (</w:t>
      </w:r>
      <w:r w:rsidR="000F5951">
        <w:t xml:space="preserve">note </w:t>
      </w:r>
      <w:r>
        <w:t xml:space="preserve">the Prism equation uses slightly different terminology -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t xml:space="preserve"> is termed Kon, </w:t>
      </w:r>
      <m:oMath>
        <m:sSub>
          <m:sSubPr>
            <m:ctrlPr>
              <w:rPr>
                <w:rFonts w:ascii="Cambria Math" w:hAnsi="Cambria Math"/>
                <w:i/>
              </w:rPr>
            </m:ctrlPr>
          </m:sSubPr>
          <m:e>
            <m:r>
              <w:rPr>
                <w:rFonts w:ascii="Cambria Math" w:hAnsi="Cambria Math"/>
              </w:rPr>
              <m:t>k</m:t>
            </m:r>
          </m:e>
          <m:sub>
            <m:r>
              <w:rPr>
                <w:rFonts w:ascii="Cambria Math" w:hAnsi="Cambria Math"/>
              </w:rPr>
              <m:t>2</m:t>
            </m:r>
          </m:sub>
        </m:sSub>
      </m:oMath>
      <w:r>
        <w:t xml:space="preserve"> is Koff, and </w:t>
      </w:r>
      <m:oMath>
        <m:r>
          <w:rPr>
            <w:rFonts w:ascii="Cambria Math" w:hAnsi="Cambria Math"/>
          </w:rPr>
          <m:t>[</m:t>
        </m:r>
        <m:r>
          <m:rPr>
            <m:sty m:val="p"/>
          </m:rPr>
          <w:rPr>
            <w:rFonts w:ascii="Cambria Math" w:hAnsi="Cambria Math"/>
          </w:rPr>
          <m:t>L</m:t>
        </m:r>
        <m:r>
          <w:rPr>
            <w:rFonts w:ascii="Cambria Math" w:hAnsi="Cambria Math"/>
          </w:rPr>
          <m:t>]</m:t>
        </m:r>
      </m:oMath>
      <w:r w:rsidR="00574241">
        <w:t xml:space="preserve"> is Hotnm</w:t>
      </w:r>
      <w:r w:rsidR="00830F76">
        <w:t xml:space="preserve"> (47)</w:t>
      </w:r>
      <w:r w:rsidR="00710C41">
        <w:t>)</w:t>
      </w:r>
      <w:r w:rsidR="000F5951">
        <w:t>.</w:t>
      </w:r>
      <w:r w:rsidR="00480AFC">
        <w:t xml:space="preserve"> </w:t>
      </w:r>
      <m:oMath>
        <m:sSub>
          <m:sSubPr>
            <m:ctrlPr>
              <w:rPr>
                <w:rFonts w:ascii="Cambria Math" w:hAnsi="Cambria Math"/>
              </w:rPr>
            </m:ctrlPr>
          </m:sSubPr>
          <m:e>
            <m:r>
              <m:rPr>
                <m:sty m:val="p"/>
              </m:rPr>
              <w:rPr>
                <w:rFonts w:ascii="Cambria Math" w:hAnsi="Cambria Math"/>
              </w:rPr>
              <m:t>B</m:t>
            </m:r>
          </m:e>
          <m:sub>
            <m:r>
              <m:rPr>
                <m:sty m:val="p"/>
              </m:rPr>
              <w:rPr>
                <w:rFonts w:ascii="Cambria Math" w:hAnsi="Cambria Math"/>
              </w:rPr>
              <m:t>max</m:t>
            </m:r>
          </m:sub>
        </m:sSub>
      </m:oMath>
      <w:r w:rsidR="00480AFC">
        <w:t xml:space="preserve"> </w:t>
      </w:r>
      <w:proofErr w:type="gramStart"/>
      <w:r w:rsidR="00480AFC">
        <w:t>is</w:t>
      </w:r>
      <w:proofErr w:type="gramEnd"/>
      <w:r w:rsidR="00480AFC">
        <w:t xml:space="preserve"> the total concentration of </w:t>
      </w:r>
      <w:r w:rsidR="009D359E">
        <w:t xml:space="preserve">targets </w:t>
      </w:r>
      <w:r w:rsidR="00480AFC">
        <w:t xml:space="preserve">in the units used on the y axis (e.g. </w:t>
      </w:r>
      <w:proofErr w:type="spellStart"/>
      <w:r w:rsidR="00480AFC">
        <w:t>cpm</w:t>
      </w:r>
      <w:proofErr w:type="spellEnd"/>
      <w:r w:rsidR="00480AFC">
        <w:t xml:space="preserve"> or </w:t>
      </w:r>
      <w:proofErr w:type="spellStart"/>
      <w:r w:rsidR="00480AFC">
        <w:t>dpm</w:t>
      </w:r>
      <w:proofErr w:type="spellEnd"/>
      <w:r w:rsidR="00480AFC">
        <w:t xml:space="preserve"> for a </w:t>
      </w:r>
      <w:proofErr w:type="spellStart"/>
      <w:r w:rsidR="00480AFC">
        <w:t>radioligand</w:t>
      </w:r>
      <w:proofErr w:type="spellEnd"/>
      <w:r w:rsidR="00480AFC">
        <w:t xml:space="preserve"> binding assay). [L] is the concentration of tracer ligand, in molar concentration for Eq. 3 and entered as </w:t>
      </w:r>
      <w:proofErr w:type="spellStart"/>
      <w:r w:rsidR="00480AFC">
        <w:t>nM</w:t>
      </w:r>
      <w:proofErr w:type="spellEnd"/>
      <w:r w:rsidR="00480AFC">
        <w:t xml:space="preserve"> concentration for the Prism equation.</w:t>
      </w:r>
    </w:p>
    <w:p w14:paraId="5CD22C0F" w14:textId="4DF54E96" w:rsidR="00574241" w:rsidRDefault="00574241" w:rsidP="00230DA2">
      <w:r>
        <w:tab/>
        <w:t xml:space="preserve">Now we are ready to analyze the test compound curves to determine </w:t>
      </w:r>
      <w:r w:rsidR="00EC2BA7" w:rsidRPr="00EC2BA7">
        <w:rPr>
          <w:i/>
          <w:iCs/>
        </w:rPr>
        <w:t>k</w:t>
      </w:r>
      <w:r w:rsidR="00EC2BA7" w:rsidRPr="00EC2BA7">
        <w:rPr>
          <w:vertAlign w:val="subscript"/>
        </w:rPr>
        <w:t>3</w:t>
      </w:r>
      <w:r>
        <w:t xml:space="preserve"> and </w:t>
      </w:r>
      <w:r w:rsidR="00EC2BA7" w:rsidRPr="00EC2BA7">
        <w:rPr>
          <w:i/>
          <w:iCs/>
        </w:rPr>
        <w:t>k</w:t>
      </w:r>
      <w:r w:rsidR="00EC2BA7" w:rsidRPr="00EC2BA7">
        <w:rPr>
          <w:vertAlign w:val="subscript"/>
        </w:rPr>
        <w:t>4</w:t>
      </w:r>
      <w:r>
        <w:t>.</w:t>
      </w:r>
      <w:r w:rsidR="00272F09">
        <w:t xml:space="preserve"> This has been streamlined in Prism so that the user operates the analysis</w:t>
      </w:r>
      <w:r w:rsidR="00CD3485">
        <w:t xml:space="preserve"> in the same was as</w:t>
      </w:r>
      <w:r w:rsidR="00272F09">
        <w:t xml:space="preserve"> other more familiar curve-fitting procedures (like dose-response analysis). The equation is complex (</w:t>
      </w:r>
      <w:r w:rsidR="00321013" w:rsidRPr="00321013">
        <w:t>Eq. 4</w:t>
      </w:r>
      <w:r w:rsidR="00321013">
        <w:t xml:space="preserve"> </w:t>
      </w:r>
      <w:r w:rsidR="00272F09">
        <w:t xml:space="preserve">shown </w:t>
      </w:r>
      <w:r w:rsidR="00BC16DD">
        <w:t>at the end of this section</w:t>
      </w:r>
      <w:r w:rsidR="00272F09">
        <w:t>) but has been pre-loaded into Prism</w:t>
      </w:r>
      <w:r w:rsidR="00830F76">
        <w:t xml:space="preserve"> (48)</w:t>
      </w:r>
      <w:r w:rsidR="00342118">
        <w:t xml:space="preserve"> </w:t>
      </w:r>
      <w:r w:rsidR="00272F09">
        <w:t>so the user simply selects it as the equation option and runs the analysis. There is one additional dimension to the data analysis. All the compound curves are analyzed simultaneously. This is done in Prism by labeling the column header in the data table with the compound concentration</w:t>
      </w:r>
      <w:r w:rsidR="00830F76">
        <w:t xml:space="preserve"> (48)</w:t>
      </w:r>
      <w:r w:rsidR="00272F09">
        <w:t xml:space="preserve">. </w:t>
      </w:r>
      <w:r w:rsidR="00E82656">
        <w:t>O</w:t>
      </w:r>
      <w:r w:rsidR="00272F09">
        <w:t>ther program</w:t>
      </w:r>
      <w:r w:rsidR="00E82656">
        <w:t>s</w:t>
      </w:r>
      <w:r w:rsidR="00272F09">
        <w:t xml:space="preserve"> that can handle this three-dimensional nonlinear regression </w:t>
      </w:r>
      <w:r w:rsidR="00E82656">
        <w:t>are</w:t>
      </w:r>
      <w:r w:rsidR="00272F09">
        <w:t xml:space="preserve"> </w:t>
      </w:r>
      <w:proofErr w:type="spellStart"/>
      <w:r w:rsidR="00272F09">
        <w:t>SigmaPlot</w:t>
      </w:r>
      <w:proofErr w:type="spellEnd"/>
      <w:r w:rsidR="00E82656">
        <w:t xml:space="preserve"> and </w:t>
      </w:r>
      <w:proofErr w:type="spellStart"/>
      <w:r w:rsidR="00E82656">
        <w:t>XLfit</w:t>
      </w:r>
      <w:proofErr w:type="spellEnd"/>
      <w:r w:rsidR="00E82656">
        <w:t>.</w:t>
      </w:r>
    </w:p>
    <w:p w14:paraId="3C512100" w14:textId="61E34B79" w:rsidR="00CD3485" w:rsidRDefault="00CD3485" w:rsidP="00230DA2">
      <w:r>
        <w:tab/>
        <w:t xml:space="preserve">A step-by-step guide to the fitting procedure is shown in the </w:t>
      </w:r>
      <w:r w:rsidR="000E5228">
        <w:t>supplementary f</w:t>
      </w:r>
      <w:r w:rsidR="001173A2">
        <w:t>ile</w:t>
      </w:r>
      <w:r>
        <w:t xml:space="preserve">, </w:t>
      </w:r>
      <w:bookmarkStart w:id="14" w:name="OLE_LINK6"/>
      <w:r>
        <w:t>“</w:t>
      </w:r>
      <w:hyperlink r:id="rId19" w:history="1">
        <w:r w:rsidR="00C20375" w:rsidRPr="000E5228">
          <w:rPr>
            <w:rStyle w:val="Hyperlink"/>
          </w:rPr>
          <w:t>Competition kinetics analysis</w:t>
        </w:r>
      </w:hyperlink>
      <w:r>
        <w:t xml:space="preserve">.” </w:t>
      </w:r>
      <w:bookmarkEnd w:id="14"/>
      <w:r>
        <w:t xml:space="preserve">The output is the fitted value of </w:t>
      </w:r>
      <w:r w:rsidR="00EC2BA7" w:rsidRPr="00EC2BA7">
        <w:rPr>
          <w:i/>
          <w:iCs/>
        </w:rPr>
        <w:t>k</w:t>
      </w:r>
      <w:r w:rsidR="00EC2BA7" w:rsidRPr="00EC2BA7">
        <w:rPr>
          <w:vertAlign w:val="subscript"/>
        </w:rPr>
        <w:t>3</w:t>
      </w:r>
      <w:r>
        <w:t xml:space="preserve"> and </w:t>
      </w:r>
      <w:r w:rsidR="00EC2BA7" w:rsidRPr="00EC2BA7">
        <w:rPr>
          <w:i/>
          <w:iCs/>
        </w:rPr>
        <w:t>k</w:t>
      </w:r>
      <w:r w:rsidR="00EC2BA7" w:rsidRPr="00EC2BA7">
        <w:rPr>
          <w:vertAlign w:val="subscript"/>
        </w:rPr>
        <w:t>4</w:t>
      </w:r>
      <w:r>
        <w:t>, the association and dissociation rate constants of the unlabeled compound</w:t>
      </w:r>
      <w:r w:rsidR="00847031">
        <w:t xml:space="preserve">, </w:t>
      </w:r>
      <w:proofErr w:type="gramStart"/>
      <w:r w:rsidR="00847031">
        <w:t xml:space="preserve">and </w:t>
      </w:r>
      <w:proofErr w:type="gramEnd"/>
      <m:oMath>
        <m:sSub>
          <m:sSubPr>
            <m:ctrlPr>
              <w:rPr>
                <w:rFonts w:ascii="Cambria Math" w:hAnsi="Cambria Math"/>
                <w:iCs/>
              </w:rPr>
            </m:ctrlPr>
          </m:sSubPr>
          <m:e>
            <m:r>
              <m:rPr>
                <m:sty m:val="p"/>
              </m:rPr>
              <w:rPr>
                <w:rFonts w:ascii="Cambria Math" w:hAnsi="Cambria Math"/>
              </w:rPr>
              <m:t>B</m:t>
            </m:r>
          </m:e>
          <m:sub>
            <m:r>
              <m:rPr>
                <m:sty m:val="p"/>
              </m:rPr>
              <w:rPr>
                <w:rFonts w:ascii="Cambria Math" w:hAnsi="Cambria Math"/>
              </w:rPr>
              <m:t>max</m:t>
            </m:r>
          </m:sub>
        </m:sSub>
      </m:oMath>
      <w:r w:rsidR="00847031">
        <w:rPr>
          <w:iCs/>
        </w:rPr>
        <w:t>, the total number of ligand binding sites.</w:t>
      </w:r>
      <w:r w:rsidR="00847031">
        <w:t xml:space="preserve"> </w:t>
      </w:r>
      <w:r>
        <w:t xml:space="preserve">A representative graph showing the curve fits and fitted values is shown in </w:t>
      </w:r>
      <w:r w:rsidR="00900795">
        <w:t>Figure</w:t>
      </w:r>
      <w:r>
        <w:t xml:space="preserve"> 6.</w:t>
      </w:r>
      <w:r w:rsidR="00EF3D5A">
        <w:t xml:space="preserve"> The fitted value of </w:t>
      </w:r>
      <w:r w:rsidR="00EC2BA7" w:rsidRPr="00EC2BA7">
        <w:rPr>
          <w:i/>
          <w:iCs/>
        </w:rPr>
        <w:t>k</w:t>
      </w:r>
      <w:r w:rsidR="00EC2BA7" w:rsidRPr="00EC2BA7">
        <w:rPr>
          <w:vertAlign w:val="subscript"/>
        </w:rPr>
        <w:t>3</w:t>
      </w:r>
      <w:r w:rsidR="00EF3D5A">
        <w:t xml:space="preserve"> is 1.9 </w:t>
      </w:r>
      <w:r w:rsidR="00EF3D5A">
        <w:sym w:font="Symbol" w:char="F0B4"/>
      </w:r>
      <w:r w:rsidR="00EF3D5A">
        <w:t xml:space="preserve"> 10</w:t>
      </w:r>
      <w:r w:rsidR="00EF3D5A">
        <w:rPr>
          <w:vertAlign w:val="superscript"/>
        </w:rPr>
        <w:t>7</w:t>
      </w:r>
      <w:r w:rsidR="00EF3D5A">
        <w:t xml:space="preserve"> </w:t>
      </w:r>
      <w:r w:rsidR="00AC1868">
        <w:t>M</w:t>
      </w:r>
      <w:r w:rsidR="00AC1868" w:rsidRPr="00AC1868">
        <w:rPr>
          <w:vertAlign w:val="superscript"/>
        </w:rPr>
        <w:t>-1</w:t>
      </w:r>
      <w:r w:rsidR="00AC1868">
        <w:t>min-</w:t>
      </w:r>
      <w:r w:rsidR="00AC1868" w:rsidRPr="00AC1868">
        <w:rPr>
          <w:vertAlign w:val="superscript"/>
        </w:rPr>
        <w:t>1</w:t>
      </w:r>
      <w:r w:rsidR="00EF3D5A">
        <w:t xml:space="preserve"> and of </w:t>
      </w:r>
      <w:r w:rsidR="00EC2BA7" w:rsidRPr="00EC2BA7">
        <w:rPr>
          <w:i/>
          <w:iCs/>
        </w:rPr>
        <w:t>k</w:t>
      </w:r>
      <w:r w:rsidR="00EC2BA7" w:rsidRPr="00EC2BA7">
        <w:rPr>
          <w:vertAlign w:val="subscript"/>
        </w:rPr>
        <w:t>4</w:t>
      </w:r>
      <w:r w:rsidR="00EF3D5A">
        <w:t xml:space="preserve"> is 0.017 min</w:t>
      </w:r>
      <w:r w:rsidR="00EF3D5A">
        <w:rPr>
          <w:vertAlign w:val="superscript"/>
        </w:rPr>
        <w:t>-1</w:t>
      </w:r>
      <w:r w:rsidR="00EF3D5A">
        <w:t xml:space="preserve">. The </w:t>
      </w:r>
      <w:r w:rsidR="00022060">
        <w:t>RT</w:t>
      </w:r>
      <w:r w:rsidR="00EF3D5A">
        <w:t xml:space="preserve"> (1 / </w:t>
      </w:r>
      <w:r w:rsidR="00EC2BA7" w:rsidRPr="00EC2BA7">
        <w:rPr>
          <w:i/>
          <w:iCs/>
        </w:rPr>
        <w:t>k</w:t>
      </w:r>
      <w:r w:rsidR="00EC2BA7" w:rsidRPr="00EC2BA7">
        <w:rPr>
          <w:vertAlign w:val="subscript"/>
        </w:rPr>
        <w:t>4</w:t>
      </w:r>
      <w:r w:rsidR="00EF3D5A">
        <w:t>) is then 59 min.</w:t>
      </w:r>
    </w:p>
    <w:p w14:paraId="4633E6E4" w14:textId="72F70C41" w:rsidR="00406A0E" w:rsidRDefault="00406A0E" w:rsidP="00406A0E">
      <w:r>
        <w:tab/>
        <w:t>The equation for the analysis is</w:t>
      </w:r>
      <w:r w:rsidR="00035CE1">
        <w:t xml:space="preserve"> Eq. 4</w:t>
      </w:r>
      <w:r w:rsidR="00830F76">
        <w:t xml:space="preserve"> (18</w:t>
      </w:r>
      <w:proofErr w:type="gramStart"/>
      <w:r w:rsidR="00830F76">
        <w:t>,19</w:t>
      </w:r>
      <w:proofErr w:type="gramEnd"/>
      <w:r w:rsidR="00830F76">
        <w:t>)</w:t>
      </w:r>
      <w:r>
        <w:t>:</w:t>
      </w:r>
    </w:p>
    <w:p w14:paraId="502DA27A" w14:textId="77777777" w:rsidR="00406A0E" w:rsidRDefault="00406A0E" w:rsidP="00406A0E">
      <w:pPr>
        <w:ind w:firstLine="720"/>
      </w:pPr>
    </w:p>
    <w:p w14:paraId="17833B11" w14:textId="19A0AE42" w:rsidR="00406A0E" w:rsidRPr="00BE01EC" w:rsidRDefault="00CF1AF2" w:rsidP="00BE01EC">
      <w:pPr>
        <w:pStyle w:val="Equation"/>
        <w:rPr>
          <w:rStyle w:val="LabelorNumber"/>
        </w:rPr>
      </w:pPr>
      <m:oMath>
        <m:d>
          <m:dPr>
            <m:begChr m:val="["/>
            <m:endChr m:val="]"/>
            <m:ctrlPr>
              <w:rPr>
                <w:rFonts w:ascii="Cambria Math" w:eastAsiaTheme="minorEastAsia" w:hAnsi="Cambria Math"/>
                <w:iCs/>
              </w:rPr>
            </m:ctrlPr>
          </m:dPr>
          <m:e>
            <m:r>
              <m:rPr>
                <m:sty m:val="p"/>
              </m:rPr>
              <w:rPr>
                <w:rFonts w:ascii="Cambria Math" w:eastAsiaTheme="minorEastAsia" w:hAnsi="Cambria Math"/>
              </w:rPr>
              <m:t>RL</m:t>
            </m:r>
          </m:e>
        </m:d>
        <m:r>
          <m:rPr>
            <m:sty m:val="p"/>
          </m:rP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max</m:t>
                </m:r>
              </m:sub>
            </m:sSub>
            <m:d>
              <m:dPr>
                <m:begChr m:val="["/>
                <m:endChr m:val="]"/>
                <m:ctrlPr>
                  <w:rPr>
                    <w:rFonts w:ascii="Cambria Math" w:eastAsiaTheme="minorEastAsia" w:hAnsi="Cambria Math"/>
                  </w:rPr>
                </m:ctrlPr>
              </m:dPr>
              <m:e>
                <m:r>
                  <m:rPr>
                    <m:sty m:val="p"/>
                  </m:rPr>
                  <w:rPr>
                    <w:rFonts w:ascii="Cambria Math" w:eastAsiaTheme="minorEastAsia" w:hAnsi="Cambria Math"/>
                  </w:rPr>
                  <m:t>L</m:t>
                </m:r>
              </m:e>
            </m:d>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1</m:t>
                </m:r>
              </m:sub>
            </m:sSub>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den>
        </m:f>
        <m:d>
          <m:dPr>
            <m:begChr m:val="["/>
            <m:endChr m:val="]"/>
            <m:ctrlPr>
              <w:rPr>
                <w:rFonts w:ascii="Cambria Math" w:eastAsiaTheme="minorEastAsia" w:hAnsi="Cambria Math"/>
              </w:rPr>
            </m:ctrlPr>
          </m:dPr>
          <m:e>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4</m:t>
                    </m:r>
                  </m:sub>
                </m:sSub>
                <m:d>
                  <m:dPr>
                    <m:ctrlPr>
                      <w:rPr>
                        <w:rFonts w:ascii="Cambria Math" w:eastAsiaTheme="minorEastAsia" w:hAnsi="Cambria Math"/>
                      </w:rPr>
                    </m:ctrlPr>
                  </m:dPr>
                  <m:e>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e>
                </m:d>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den>
            </m:f>
            <m:r>
              <m:rPr>
                <m:sty m:val="p"/>
              </m:rPr>
              <w:rPr>
                <w:rFonts w:ascii="Cambria Math" w:eastAsiaTheme="minorEastAsia" w:hAnsi="Cambria Math"/>
              </w:rPr>
              <m:t>+</m:t>
            </m:r>
            <m:f>
              <m:fPr>
                <m:ctrlPr>
                  <w:rPr>
                    <w:rFonts w:ascii="Cambria Math" w:eastAsiaTheme="minorEastAsia" w:hAnsi="Cambria Math"/>
                  </w:rPr>
                </m:ctrlPr>
              </m:fPr>
              <m:num>
                <m:d>
                  <m:dPr>
                    <m:begChr m:val=""/>
                    <m:endChr m:val=""/>
                    <m:ctrlPr>
                      <w:rPr>
                        <w:rFonts w:ascii="Cambria Math" w:eastAsiaTheme="minorEastAsia" w:hAnsi="Cambria Math"/>
                      </w:rPr>
                    </m:ctrlPr>
                  </m:dPr>
                  <m:e>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4</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e>
                </m:d>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den>
            </m:f>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w:rPr>
                    <w:rFonts w:ascii="Cambria Math" w:eastAsiaTheme="minorEastAsia" w:hAnsi="Cambria Math"/>
                  </w:rPr>
                  <m:t>t</m:t>
                </m:r>
              </m:sup>
            </m:sSup>
            <m:r>
              <m:rPr>
                <m:sty m:val="p"/>
              </m:rPr>
              <w:rPr>
                <w:rFonts w:ascii="Cambria Math" w:eastAsiaTheme="minorEastAsia" w:hAnsi="Cambria Math"/>
              </w:rPr>
              <m:t>-</m:t>
            </m:r>
            <m:f>
              <m:fPr>
                <m:ctrlPr>
                  <w:rPr>
                    <w:rFonts w:ascii="Cambria Math" w:eastAsiaTheme="minorEastAsia" w:hAnsi="Cambria Math"/>
                  </w:rPr>
                </m:ctrlPr>
              </m:fPr>
              <m:num>
                <m:d>
                  <m:dPr>
                    <m:begChr m:val=""/>
                    <m:endChr m:val=""/>
                    <m:ctrlPr>
                      <w:rPr>
                        <w:rFonts w:ascii="Cambria Math" w:eastAsiaTheme="minorEastAsia" w:hAnsi="Cambria Math"/>
                      </w:rPr>
                    </m:ctrlPr>
                  </m:dPr>
                  <m:e>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4</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e>
                </m:d>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den>
            </m:f>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r>
                  <w:rPr>
                    <w:rFonts w:ascii="Cambria Math" w:eastAsiaTheme="minorEastAsia" w:hAnsi="Cambria Math"/>
                  </w:rPr>
                  <m:t>t</m:t>
                </m:r>
              </m:sup>
            </m:sSup>
          </m:e>
        </m:d>
      </m:oMath>
      <w:r w:rsidR="00477631">
        <w:rPr>
          <w:rFonts w:eastAsiaTheme="minorEastAsia"/>
        </w:rPr>
        <w:tab/>
      </w:r>
      <w:r w:rsidR="00035CE1" w:rsidRPr="00BE01EC">
        <w:rPr>
          <w:rStyle w:val="LabelorNumber"/>
          <w:rFonts w:eastAsiaTheme="minorEastAsia"/>
        </w:rPr>
        <w:t>Eq. 4</w:t>
      </w:r>
    </w:p>
    <w:p w14:paraId="24C7A004" w14:textId="77777777" w:rsidR="00035CE1" w:rsidRDefault="00035CE1" w:rsidP="00406A0E">
      <w:pPr>
        <w:rPr>
          <w:rFonts w:ascii="Cambria Math" w:hAnsi="Cambria Math"/>
        </w:rPr>
      </w:pPr>
    </w:p>
    <w:p w14:paraId="207DCBBA" w14:textId="77777777" w:rsidR="00406A0E" w:rsidRDefault="00406A0E" w:rsidP="00406A0E">
      <w:proofErr w:type="gramStart"/>
      <w:r>
        <w:t>where</w:t>
      </w:r>
      <w:proofErr w:type="gramEnd"/>
      <w:r>
        <w:t>,</w:t>
      </w:r>
    </w:p>
    <w:p w14:paraId="14FD732B" w14:textId="4F27C2E7" w:rsidR="00406A0E" w:rsidRPr="00EC5B1B" w:rsidRDefault="00CF1AF2" w:rsidP="00C34E71">
      <w:pPr>
        <w:pStyle w:val="Equation"/>
        <w:rPr>
          <w:rFonts w:eastAsiaTheme="minorEastAsia"/>
        </w:rPr>
      </w:pPr>
      <m:oMathPara>
        <m:oMath>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m:rPr>
              <m:sty m:val="p"/>
            </m:rPr>
            <w:rPr>
              <w:rFonts w:ascii="Cambria Math" w:eastAsiaTheme="minorEastAsia" w:hAnsi="Cambria Math" w:cs="Cambria Math"/>
            </w:rPr>
            <m:t>=0.5</m:t>
          </m:r>
          <m:d>
            <m:dPr>
              <m:begChr m:val="{"/>
              <m:endChr m:val="}"/>
              <m:ctrlPr>
                <w:rPr>
                  <w:rFonts w:ascii="Cambria Math" w:eastAsiaTheme="minorEastAsia" w:hAnsi="Cambria Math" w:cs="Cambria Math"/>
                </w:rPr>
              </m:ctrlPr>
            </m:dPr>
            <m:e>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A</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B</m:t>
                  </m:r>
                </m:sub>
              </m:sSub>
              <m:r>
                <m:rPr>
                  <m:sty m:val="p"/>
                </m:rPr>
                <w:rPr>
                  <w:rFonts w:ascii="Cambria Math" w:eastAsiaTheme="minorEastAsia" w:hAnsi="Cambria Math" w:cs="Cambria Math"/>
                </w:rPr>
                <m:t>+</m:t>
              </m:r>
              <m:rad>
                <m:radPr>
                  <m:degHide m:val="1"/>
                  <m:ctrlPr>
                    <w:rPr>
                      <w:rFonts w:ascii="Cambria Math" w:eastAsiaTheme="minorEastAsia" w:hAnsi="Cambria Math" w:cs="Cambria Math"/>
                    </w:rPr>
                  </m:ctrlPr>
                </m:radPr>
                <m:deg/>
                <m:e>
                  <m:sSup>
                    <m:sSupPr>
                      <m:ctrlPr>
                        <w:rPr>
                          <w:rFonts w:ascii="Cambria Math" w:eastAsiaTheme="minorEastAsia" w:hAnsi="Cambria Math" w:cs="Cambria Math"/>
                        </w:rPr>
                      </m:ctrlPr>
                    </m:sSupPr>
                    <m:e>
                      <m:d>
                        <m:dPr>
                          <m:ctrlPr>
                            <w:rPr>
                              <w:rFonts w:ascii="Cambria Math" w:eastAsiaTheme="minorEastAsia" w:hAnsi="Cambria Math" w:cs="Cambria Math"/>
                            </w:rPr>
                          </m:ctrlPr>
                        </m:dPr>
                        <m:e>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A</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B</m:t>
                              </m:r>
                            </m:sub>
                          </m:sSub>
                        </m:e>
                      </m:d>
                    </m:e>
                    <m:sup>
                      <m:r>
                        <m:rPr>
                          <m:sty m:val="p"/>
                        </m:rPr>
                        <w:rPr>
                          <w:rFonts w:ascii="Cambria Math" w:eastAsiaTheme="minorEastAsia" w:hAnsi="Cambria Math" w:cs="Cambria Math"/>
                        </w:rPr>
                        <m:t>2</m:t>
                      </m:r>
                    </m:sup>
                  </m:sSup>
                  <m:r>
                    <m:rPr>
                      <m:sty m:val="p"/>
                    </m:rPr>
                    <w:rPr>
                      <w:rFonts w:ascii="Cambria Math" w:eastAsiaTheme="minorEastAsia" w:hAnsi="Cambria Math" w:cs="Cambria Math"/>
                    </w:rPr>
                    <m:t>+4</m:t>
                  </m:r>
                  <m:d>
                    <m:dPr>
                      <m:begChr m:val="["/>
                      <m:endChr m:val="]"/>
                      <m:ctrlPr>
                        <w:rPr>
                          <w:rFonts w:ascii="Cambria Math" w:eastAsiaTheme="minorEastAsia" w:hAnsi="Cambria Math"/>
                        </w:rPr>
                      </m:ctrlPr>
                    </m:dPr>
                    <m:e>
                      <m:r>
                        <m:rPr>
                          <m:sty m:val="p"/>
                        </m:rPr>
                        <w:rPr>
                          <w:rFonts w:ascii="Cambria Math" w:eastAsiaTheme="minorEastAsia" w:hAnsi="Cambria Math"/>
                        </w:rPr>
                        <m:t>L</m:t>
                      </m:r>
                    </m:e>
                  </m:d>
                  <m:d>
                    <m:dPr>
                      <m:begChr m:val="["/>
                      <m:endChr m:val="]"/>
                      <m:ctrlPr>
                        <w:rPr>
                          <w:rFonts w:ascii="Cambria Math" w:eastAsiaTheme="minorEastAsia" w:hAnsi="Cambria Math"/>
                        </w:rPr>
                      </m:ctrlPr>
                    </m:dPr>
                    <m:e>
                      <m:r>
                        <m:rPr>
                          <m:sty m:val="p"/>
                        </m:rPr>
                        <w:rPr>
                          <w:rFonts w:ascii="Cambria Math" w:eastAsiaTheme="minorEastAsia" w:hAnsi="Cambria Math"/>
                        </w:rPr>
                        <m:t>I</m:t>
                      </m:r>
                    </m:e>
                  </m:d>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1</m:t>
                      </m:r>
                    </m:sub>
                  </m:sSub>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3</m:t>
                      </m:r>
                    </m:sub>
                  </m:sSub>
                </m:e>
              </m:rad>
            </m:e>
          </m:d>
        </m:oMath>
      </m:oMathPara>
    </w:p>
    <w:p w14:paraId="5A37EEDE" w14:textId="07D21A4F" w:rsidR="00406A0E" w:rsidRPr="00A45EA9" w:rsidRDefault="00CF1AF2" w:rsidP="00C34E71">
      <w:pPr>
        <w:pStyle w:val="Equation"/>
        <w:rPr>
          <w:rFonts w:eastAsiaTheme="minorEastAsia"/>
        </w:rPr>
      </w:pPr>
      <m:oMathPara>
        <m:oMath>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r>
            <m:rPr>
              <m:sty m:val="p"/>
            </m:rPr>
            <w:rPr>
              <w:rFonts w:ascii="Cambria Math" w:eastAsiaTheme="minorEastAsia" w:hAnsi="Cambria Math" w:cs="Cambria Math"/>
            </w:rPr>
            <m:t>=0.5</m:t>
          </m:r>
          <m:d>
            <m:dPr>
              <m:begChr m:val="{"/>
              <m:endChr m:val="}"/>
              <m:ctrlPr>
                <w:rPr>
                  <w:rFonts w:ascii="Cambria Math" w:eastAsiaTheme="minorEastAsia" w:hAnsi="Cambria Math" w:cs="Cambria Math"/>
                </w:rPr>
              </m:ctrlPr>
            </m:dPr>
            <m:e>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A</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B</m:t>
                  </m:r>
                </m:sub>
              </m:sSub>
              <m:r>
                <m:rPr>
                  <m:sty m:val="p"/>
                </m:rPr>
                <w:rPr>
                  <w:rFonts w:ascii="Cambria Math" w:eastAsiaTheme="minorEastAsia" w:hAnsi="Cambria Math" w:cs="Cambria Math"/>
                </w:rPr>
                <m:t>-</m:t>
              </m:r>
              <m:rad>
                <m:radPr>
                  <m:degHide m:val="1"/>
                  <m:ctrlPr>
                    <w:rPr>
                      <w:rFonts w:ascii="Cambria Math" w:eastAsiaTheme="minorEastAsia" w:hAnsi="Cambria Math" w:cs="Cambria Math"/>
                    </w:rPr>
                  </m:ctrlPr>
                </m:radPr>
                <m:deg/>
                <m:e>
                  <m:sSup>
                    <m:sSupPr>
                      <m:ctrlPr>
                        <w:rPr>
                          <w:rFonts w:ascii="Cambria Math" w:eastAsiaTheme="minorEastAsia" w:hAnsi="Cambria Math" w:cs="Cambria Math"/>
                        </w:rPr>
                      </m:ctrlPr>
                    </m:sSupPr>
                    <m:e>
                      <m:d>
                        <m:dPr>
                          <m:ctrlPr>
                            <w:rPr>
                              <w:rFonts w:ascii="Cambria Math" w:eastAsiaTheme="minorEastAsia" w:hAnsi="Cambria Math" w:cs="Cambria Math"/>
                            </w:rPr>
                          </m:ctrlPr>
                        </m:dPr>
                        <m:e>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A</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B</m:t>
                              </m:r>
                            </m:sub>
                          </m:sSub>
                        </m:e>
                      </m:d>
                    </m:e>
                    <m:sup>
                      <m:r>
                        <m:rPr>
                          <m:sty m:val="p"/>
                        </m:rPr>
                        <w:rPr>
                          <w:rFonts w:ascii="Cambria Math" w:eastAsiaTheme="minorEastAsia" w:hAnsi="Cambria Math" w:cs="Cambria Math"/>
                        </w:rPr>
                        <m:t>2</m:t>
                      </m:r>
                    </m:sup>
                  </m:sSup>
                  <m:r>
                    <m:rPr>
                      <m:sty m:val="p"/>
                    </m:rPr>
                    <w:rPr>
                      <w:rFonts w:ascii="Cambria Math" w:eastAsiaTheme="minorEastAsia" w:hAnsi="Cambria Math" w:cs="Cambria Math"/>
                    </w:rPr>
                    <m:t>+4</m:t>
                  </m:r>
                  <m:d>
                    <m:dPr>
                      <m:begChr m:val="["/>
                      <m:endChr m:val="]"/>
                      <m:ctrlPr>
                        <w:rPr>
                          <w:rFonts w:ascii="Cambria Math" w:eastAsiaTheme="minorEastAsia" w:hAnsi="Cambria Math"/>
                        </w:rPr>
                      </m:ctrlPr>
                    </m:dPr>
                    <m:e>
                      <m:r>
                        <m:rPr>
                          <m:sty m:val="p"/>
                        </m:rPr>
                        <w:rPr>
                          <w:rFonts w:ascii="Cambria Math" w:eastAsiaTheme="minorEastAsia" w:hAnsi="Cambria Math"/>
                        </w:rPr>
                        <m:t>L</m:t>
                      </m:r>
                    </m:e>
                  </m:d>
                  <m:d>
                    <m:dPr>
                      <m:begChr m:val="["/>
                      <m:endChr m:val="]"/>
                      <m:ctrlPr>
                        <w:rPr>
                          <w:rFonts w:ascii="Cambria Math" w:eastAsiaTheme="minorEastAsia" w:hAnsi="Cambria Math"/>
                        </w:rPr>
                      </m:ctrlPr>
                    </m:dPr>
                    <m:e>
                      <m:r>
                        <m:rPr>
                          <m:sty m:val="p"/>
                        </m:rPr>
                        <w:rPr>
                          <w:rFonts w:ascii="Cambria Math" w:eastAsiaTheme="minorEastAsia" w:hAnsi="Cambria Math"/>
                        </w:rPr>
                        <m:t>I</m:t>
                      </m:r>
                    </m:e>
                  </m:d>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1</m:t>
                      </m:r>
                    </m:sub>
                  </m:sSub>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3</m:t>
                      </m:r>
                    </m:sub>
                  </m:sSub>
                </m:e>
              </m:rad>
            </m:e>
          </m:d>
        </m:oMath>
      </m:oMathPara>
    </w:p>
    <w:p w14:paraId="2ED3A7F8" w14:textId="4153FCFB" w:rsidR="00406A0E" w:rsidRPr="001C01DC" w:rsidRDefault="00CF1AF2" w:rsidP="00C34E71">
      <w:pPr>
        <w:pStyle w:val="Equation"/>
        <w:rPr>
          <w:rFonts w:eastAsiaTheme="minorEastAsia"/>
        </w:rPr>
      </w:pPr>
      <m:oMathPara>
        <m:oMath>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A</m:t>
              </m:r>
            </m:sub>
          </m:sSub>
          <m:r>
            <m:rPr>
              <m:sty m:val="p"/>
            </m:rPr>
            <w:rPr>
              <w:rFonts w:ascii="Cambria Math" w:eastAsiaTheme="minorEastAsia" w:hAnsi="Cambria Math"/>
            </w:rPr>
            <m:t>=</m:t>
          </m:r>
          <m:d>
            <m:dPr>
              <m:begChr m:val="["/>
              <m:endChr m:val="]"/>
              <m:ctrlPr>
                <w:rPr>
                  <w:rFonts w:ascii="Cambria Math" w:eastAsiaTheme="minorEastAsia" w:hAnsi="Cambria Math"/>
                </w:rPr>
              </m:ctrlPr>
            </m:dPr>
            <m:e>
              <m:r>
                <m:rPr>
                  <m:sty m:val="p"/>
                </m:rPr>
                <w:rPr>
                  <w:rFonts w:ascii="Cambria Math" w:eastAsiaTheme="minorEastAsia" w:hAnsi="Cambria Math"/>
                </w:rPr>
                <m:t>L</m:t>
              </m:r>
            </m:e>
          </m:d>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1</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2</m:t>
              </m:r>
            </m:sub>
          </m:sSub>
        </m:oMath>
      </m:oMathPara>
    </w:p>
    <w:p w14:paraId="08DFAF76" w14:textId="4B3A8125" w:rsidR="00406A0E" w:rsidRPr="001228A7" w:rsidRDefault="00CF1AF2" w:rsidP="00C34E71">
      <w:pPr>
        <w:pStyle w:val="Equation"/>
        <w:rPr>
          <w:rFonts w:eastAsiaTheme="minorEastAsia"/>
        </w:rPr>
      </w:pPr>
      <m:oMathPara>
        <m:oMath>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B</m:t>
              </m:r>
            </m:sub>
          </m:sSub>
          <m:r>
            <m:rPr>
              <m:sty m:val="p"/>
            </m:rPr>
            <w:rPr>
              <w:rFonts w:ascii="Cambria Math" w:eastAsiaTheme="minorEastAsia" w:hAnsi="Cambria Math"/>
            </w:rPr>
            <m:t>=</m:t>
          </m:r>
          <m:d>
            <m:dPr>
              <m:begChr m:val="["/>
              <m:endChr m:val="]"/>
              <m:ctrlPr>
                <w:rPr>
                  <w:rFonts w:ascii="Cambria Math" w:eastAsiaTheme="minorEastAsia" w:hAnsi="Cambria Math"/>
                </w:rPr>
              </m:ctrlPr>
            </m:dPr>
            <m:e>
              <m:r>
                <m:rPr>
                  <m:sty m:val="p"/>
                </m:rPr>
                <w:rPr>
                  <w:rFonts w:ascii="Cambria Math" w:eastAsiaTheme="minorEastAsia" w:hAnsi="Cambria Math"/>
                </w:rPr>
                <m:t>I</m:t>
              </m:r>
            </m:e>
          </m:d>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3</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4</m:t>
              </m:r>
            </m:sub>
          </m:sSub>
        </m:oMath>
      </m:oMathPara>
    </w:p>
    <w:p w14:paraId="085AF798" w14:textId="77777777" w:rsidR="00406A0E" w:rsidRDefault="00406A0E" w:rsidP="00406A0E"/>
    <w:p w14:paraId="7F9F89FE" w14:textId="0EE561E3" w:rsidR="00406A0E" w:rsidRDefault="00406A0E" w:rsidP="00230DA2">
      <w:r>
        <w:t>The fitted parameters are</w:t>
      </w:r>
      <w:r w:rsidR="009602CD">
        <w:t xml:space="preserve"> </w:t>
      </w:r>
      <w:r w:rsidR="009602CD" w:rsidRPr="00EC2BA7">
        <w:rPr>
          <w:i/>
          <w:iCs/>
        </w:rPr>
        <w:t>k</w:t>
      </w:r>
      <w:r w:rsidR="009602CD" w:rsidRPr="00EC2BA7">
        <w:rPr>
          <w:vertAlign w:val="subscript"/>
        </w:rPr>
        <w:t>3</w:t>
      </w:r>
      <w:r w:rsidR="009602CD">
        <w:t xml:space="preserve">, </w:t>
      </w:r>
      <w:r w:rsidR="009602CD" w:rsidRPr="00EC2BA7">
        <w:rPr>
          <w:i/>
          <w:iCs/>
        </w:rPr>
        <w:t>k</w:t>
      </w:r>
      <w:r w:rsidR="009602CD">
        <w:rPr>
          <w:vertAlign w:val="subscript"/>
        </w:rPr>
        <w:t>4</w:t>
      </w:r>
      <w:r w:rsidR="009602CD">
        <w:t xml:space="preserve"> and </w:t>
      </w:r>
      <w:proofErr w:type="spellStart"/>
      <w:r w:rsidR="009602CD">
        <w:t>B</w:t>
      </w:r>
      <w:r w:rsidR="009602CD" w:rsidRPr="009602CD">
        <w:rPr>
          <w:vertAlign w:val="subscript"/>
        </w:rPr>
        <w:t>max</w:t>
      </w:r>
      <w:proofErr w:type="spellEnd"/>
      <w:r>
        <w:t>. The parameters fixed at constant values in the analysis are</w:t>
      </w:r>
      <w:r w:rsidR="009602CD">
        <w:t xml:space="preserve"> [L], [I], </w:t>
      </w:r>
      <w:r w:rsidR="009602CD" w:rsidRPr="00EC2BA7">
        <w:rPr>
          <w:i/>
          <w:iCs/>
        </w:rPr>
        <w:t>k</w:t>
      </w:r>
      <w:r w:rsidR="009602CD">
        <w:rPr>
          <w:vertAlign w:val="subscript"/>
        </w:rPr>
        <w:t>1</w:t>
      </w:r>
      <w:r w:rsidR="009602CD">
        <w:t xml:space="preserve"> and </w:t>
      </w:r>
      <w:proofErr w:type="gramStart"/>
      <w:r w:rsidR="009602CD" w:rsidRPr="00EC2BA7">
        <w:rPr>
          <w:i/>
          <w:iCs/>
        </w:rPr>
        <w:t>k</w:t>
      </w:r>
      <w:r w:rsidR="009602CD">
        <w:rPr>
          <w:vertAlign w:val="subscript"/>
        </w:rPr>
        <w:t>2</w:t>
      </w:r>
      <w:proofErr w:type="gramEnd"/>
      <w:r w:rsidR="00480AFC">
        <w:t xml:space="preserve">. [I] is the inhibitor concentration in molar concentration for Eq. 4 and entered as </w:t>
      </w:r>
      <w:proofErr w:type="spellStart"/>
      <w:r w:rsidR="00480AFC">
        <w:t>nM</w:t>
      </w:r>
      <w:proofErr w:type="spellEnd"/>
      <w:r w:rsidR="00480AFC">
        <w:t xml:space="preserve"> concentration in Prism. </w:t>
      </w:r>
      <w:r>
        <w:t>The parameters</w:t>
      </w:r>
      <w:r w:rsidR="009602CD">
        <w:t xml:space="preserve"> </w:t>
      </w:r>
      <w:r w:rsidR="009602CD">
        <w:rPr>
          <w:i/>
          <w:iCs/>
        </w:rPr>
        <w:t>K</w:t>
      </w:r>
      <w:r w:rsidR="009602CD">
        <w:rPr>
          <w:i/>
          <w:iCs/>
          <w:vertAlign w:val="subscript"/>
        </w:rPr>
        <w:t>F</w:t>
      </w:r>
      <w:r w:rsidR="009602CD">
        <w:t xml:space="preserve">, </w:t>
      </w:r>
      <w:r w:rsidR="009602CD">
        <w:rPr>
          <w:i/>
          <w:iCs/>
        </w:rPr>
        <w:t>K</w:t>
      </w:r>
      <w:r w:rsidR="009602CD">
        <w:rPr>
          <w:i/>
          <w:iCs/>
          <w:vertAlign w:val="subscript"/>
        </w:rPr>
        <w:t>S</w:t>
      </w:r>
      <w:r w:rsidR="009602CD">
        <w:t xml:space="preserve">, </w:t>
      </w:r>
      <w:r w:rsidR="009602CD">
        <w:rPr>
          <w:i/>
          <w:iCs/>
        </w:rPr>
        <w:t>K</w:t>
      </w:r>
      <w:r w:rsidR="009602CD">
        <w:rPr>
          <w:i/>
          <w:iCs/>
          <w:vertAlign w:val="subscript"/>
        </w:rPr>
        <w:t>A</w:t>
      </w:r>
      <w:r w:rsidR="009602CD">
        <w:t xml:space="preserve"> and </w:t>
      </w:r>
      <w:r w:rsidR="009602CD">
        <w:rPr>
          <w:i/>
          <w:iCs/>
        </w:rPr>
        <w:t>K</w:t>
      </w:r>
      <w:r w:rsidR="009602CD">
        <w:rPr>
          <w:i/>
          <w:iCs/>
          <w:vertAlign w:val="subscript"/>
        </w:rPr>
        <w:t>B</w:t>
      </w:r>
      <w:r>
        <w:t xml:space="preserve"> are </w:t>
      </w:r>
      <w:r w:rsidR="00002E90">
        <w:t>combinations</w:t>
      </w:r>
      <w:r>
        <w:t xml:space="preserve"> of the other parameters, introduced to simplify writing of the equation into curve-fitting programs.</w:t>
      </w:r>
    </w:p>
    <w:p w14:paraId="1A93BD94" w14:textId="30DC8B24" w:rsidR="00342118" w:rsidRDefault="00342118" w:rsidP="00230DA2"/>
    <w:p w14:paraId="3180928A" w14:textId="0A9BD43F" w:rsidR="00406A0E" w:rsidRDefault="00406A0E" w:rsidP="00230DA2"/>
    <w:p w14:paraId="55483E41" w14:textId="413B14F3" w:rsidR="00710C41" w:rsidRDefault="00710C41" w:rsidP="00230DA2"/>
    <w:p w14:paraId="77A93AB4" w14:textId="5B3B0720" w:rsidR="00710C41" w:rsidRDefault="00710C41" w:rsidP="00230DA2"/>
    <w:p w14:paraId="19C16592" w14:textId="759C9815" w:rsidR="00084E80" w:rsidRDefault="003F5A77" w:rsidP="00180634">
      <w:pPr>
        <w:pStyle w:val="Heading3"/>
      </w:pPr>
      <w:r w:rsidRPr="003F5A77">
        <w:t>Shape of the Curves Can Diagnose the Residence Time of the Test Compound</w:t>
      </w:r>
    </w:p>
    <w:p w14:paraId="6EE4B963" w14:textId="60DF8FD7" w:rsidR="00084E80" w:rsidRDefault="00084E80" w:rsidP="00230DA2">
      <w:r>
        <w:tab/>
        <w:t xml:space="preserve">An interesting observation is immediately obvious on inspecting the data in </w:t>
      </w:r>
      <w:r w:rsidR="00900795">
        <w:t>Figure</w:t>
      </w:r>
      <w:r>
        <w:t xml:space="preserve"> 6 – the curves are of an unusual shape. There is an overshoot of the tracer binding curve in the presence of compound, before the curve returns to a plateau value. This phenomenon arises when the </w:t>
      </w:r>
      <w:r w:rsidR="00022060">
        <w:t>RT</w:t>
      </w:r>
      <w:r>
        <w:t xml:space="preserve"> of the test compound is longer than that of the tracer</w:t>
      </w:r>
      <w:r w:rsidR="00EE4558">
        <w:t xml:space="preserve"> </w:t>
      </w:r>
      <w:r w:rsidR="00830F76">
        <w:t>(18</w:t>
      </w:r>
      <w:proofErr w:type="gramStart"/>
      <w:r w:rsidR="00830F76">
        <w:t>,19,4</w:t>
      </w:r>
      <w:r w:rsidR="00321013">
        <w:t>5</w:t>
      </w:r>
      <w:r w:rsidR="00830F76">
        <w:t>,4</w:t>
      </w:r>
      <w:r w:rsidR="00321013">
        <w:t>6</w:t>
      </w:r>
      <w:proofErr w:type="gramEnd"/>
      <w:r w:rsidR="00830F76">
        <w:t>)</w:t>
      </w:r>
      <w:r>
        <w:t xml:space="preserve">. More generally, the shape of the curve can diagnose the </w:t>
      </w:r>
      <w:r w:rsidR="00022060">
        <w:t>RT</w:t>
      </w:r>
      <w:r>
        <w:t xml:space="preserve"> of the test compound</w:t>
      </w:r>
      <w:r w:rsidR="0062257F">
        <w:t>, relative to the RT of the tracer</w:t>
      </w:r>
      <w:r>
        <w:t xml:space="preserve">. This is shown in </w:t>
      </w:r>
      <w:r w:rsidR="00900795">
        <w:t>Figure</w:t>
      </w:r>
      <w:r>
        <w:t xml:space="preserve"> 7. Competition kinetics data </w:t>
      </w:r>
      <w:r w:rsidR="003D232D">
        <w:t>are</w:t>
      </w:r>
      <w:r>
        <w:t xml:space="preserve"> shown for compounds with a range of </w:t>
      </w:r>
      <w:r w:rsidR="00022060">
        <w:t>RT</w:t>
      </w:r>
      <w:r>
        <w:t>s</w:t>
      </w:r>
      <w:r w:rsidR="00022060">
        <w:t xml:space="preserve">, from 300 min to 3 min. The tracer RT is 67 min. It can be seen </w:t>
      </w:r>
      <w:r w:rsidR="00B71676">
        <w:t xml:space="preserve">that </w:t>
      </w:r>
      <w:r w:rsidR="00022060">
        <w:t>when the compound RT is longer than the tracer RT, the overshoot phenomenon occurs (</w:t>
      </w:r>
      <w:r w:rsidR="00900795">
        <w:t>Figure</w:t>
      </w:r>
      <w:r w:rsidR="00022060">
        <w:t xml:space="preserve"> 7</w:t>
      </w:r>
      <w:r w:rsidR="00EE4558">
        <w:t>A</w:t>
      </w:r>
      <w:r w:rsidR="00022060">
        <w:t>, 300 min and</w:t>
      </w:r>
      <w:r w:rsidR="00B71676">
        <w:t xml:space="preserve"> 7B,</w:t>
      </w:r>
      <w:r w:rsidR="00022060">
        <w:t xml:space="preserve"> 100 min). </w:t>
      </w:r>
      <w:r w:rsidR="00412FA3">
        <w:t xml:space="preserve">The longer the RT, the more pronounced the overshoot (compare </w:t>
      </w:r>
      <w:r w:rsidR="00900795">
        <w:t>Figure</w:t>
      </w:r>
      <w:r w:rsidR="00412FA3">
        <w:t xml:space="preserve"> 7</w:t>
      </w:r>
      <w:r w:rsidR="00EE4558">
        <w:t>A</w:t>
      </w:r>
      <w:r w:rsidR="00412FA3">
        <w:t xml:space="preserve"> and </w:t>
      </w:r>
      <w:r w:rsidR="00EE4558">
        <w:t>B</w:t>
      </w:r>
      <w:r w:rsidR="00412FA3">
        <w:t xml:space="preserve">). </w:t>
      </w:r>
      <w:r w:rsidR="00022060">
        <w:t xml:space="preserve">When the compound RT is slightly shorter than the tracer RT (30 min, </w:t>
      </w:r>
      <w:r w:rsidR="00900795">
        <w:t>Figure</w:t>
      </w:r>
      <w:r w:rsidR="00022060">
        <w:t xml:space="preserve"> 7</w:t>
      </w:r>
      <w:r w:rsidR="00EE4558">
        <w:t>C</w:t>
      </w:r>
      <w:r w:rsidR="00022060">
        <w:t xml:space="preserve">), a biphasic curve is evident – there is an initial rapid burst of binding followed by a shallower phase as the curve approaches the plateau. When the compound RT is short relative to the tracer (10 min and 3 min) the curve </w:t>
      </w:r>
      <w:r w:rsidR="0062257F">
        <w:t xml:space="preserve">resembles </w:t>
      </w:r>
      <w:r w:rsidR="00022060">
        <w:t>a monophasic curve</w:t>
      </w:r>
      <w:r w:rsidR="0062257F">
        <w:t>, similar in shape but different in dimensions to the control curve</w:t>
      </w:r>
      <w:r w:rsidR="00022060">
        <w:t xml:space="preserve"> (</w:t>
      </w:r>
      <w:r w:rsidR="00900795">
        <w:t>Figure</w:t>
      </w:r>
      <w:r w:rsidR="00022060">
        <w:t xml:space="preserve"> 7</w:t>
      </w:r>
      <w:r w:rsidR="00EE4558">
        <w:t>D</w:t>
      </w:r>
      <w:proofErr w:type="gramStart"/>
      <w:r w:rsidR="00022060">
        <w:t>,</w:t>
      </w:r>
      <w:r w:rsidR="00EE4558">
        <w:t>E</w:t>
      </w:r>
      <w:proofErr w:type="gramEnd"/>
      <w:r w:rsidR="00022060">
        <w:t>).</w:t>
      </w:r>
    </w:p>
    <w:p w14:paraId="1F1FC65D" w14:textId="029BD175" w:rsidR="00927E1A" w:rsidRDefault="00927E1A" w:rsidP="00230DA2"/>
    <w:p w14:paraId="245251A3" w14:textId="2F35D0FF" w:rsidR="003D232D" w:rsidRDefault="003D232D" w:rsidP="003D232D">
      <w:pPr>
        <w:rPr>
          <w:sz w:val="20"/>
        </w:rPr>
      </w:pPr>
    </w:p>
    <w:p w14:paraId="27BE847F" w14:textId="77777777" w:rsidR="00EF556A" w:rsidRPr="003D232D" w:rsidRDefault="00EF556A" w:rsidP="003D232D">
      <w:pPr>
        <w:rPr>
          <w:sz w:val="20"/>
        </w:rPr>
      </w:pPr>
    </w:p>
    <w:p w14:paraId="743257FE" w14:textId="2DFC10DC" w:rsidR="007501DA" w:rsidRDefault="003F5A77" w:rsidP="00180634">
      <w:pPr>
        <w:pStyle w:val="Heading3"/>
      </w:pPr>
      <w:bookmarkStart w:id="15" w:name="_Limits_of_Sensitivity"/>
      <w:bookmarkEnd w:id="15"/>
      <w:r>
        <w:t>Limits of S</w:t>
      </w:r>
      <w:r w:rsidR="007501DA">
        <w:t>ensitivity</w:t>
      </w:r>
    </w:p>
    <w:p w14:paraId="75B8F6C3" w14:textId="7EE05A19" w:rsidR="007501DA" w:rsidRDefault="007501DA" w:rsidP="007501DA">
      <w:r>
        <w:tab/>
        <w:t xml:space="preserve">Like any other assay, there are limits to the sensitivity of the competition kinetics approach, specifically for quantifying the </w:t>
      </w:r>
      <w:r w:rsidR="0080081D">
        <w:t>RT</w:t>
      </w:r>
      <w:r>
        <w:t xml:space="preserve">. </w:t>
      </w:r>
      <w:r w:rsidR="007F3701">
        <w:t>This has been emphasized in two recent studies</w:t>
      </w:r>
      <w:r w:rsidR="00830F76">
        <w:t xml:space="preserve"> (45</w:t>
      </w:r>
      <w:proofErr w:type="gramStart"/>
      <w:r w:rsidR="00830F76">
        <w:t>,46</w:t>
      </w:r>
      <w:proofErr w:type="gramEnd"/>
      <w:r w:rsidR="00830F76">
        <w:t>)</w:t>
      </w:r>
      <w:r w:rsidR="007F3701">
        <w:t xml:space="preserve">. </w:t>
      </w:r>
      <w:r>
        <w:t xml:space="preserve">If the </w:t>
      </w:r>
      <w:r w:rsidR="0080081D">
        <w:t>RT</w:t>
      </w:r>
      <w:r>
        <w:t xml:space="preserve"> is too short or too long, the analysis is unable to provide a realistic estimate of </w:t>
      </w:r>
      <w:r w:rsidR="003E3D1B" w:rsidRPr="003E3D1B">
        <w:rPr>
          <w:i/>
          <w:iCs/>
        </w:rPr>
        <w:t>k</w:t>
      </w:r>
      <w:r w:rsidRPr="003E3D1B">
        <w:rPr>
          <w:vertAlign w:val="subscript"/>
        </w:rPr>
        <w:t>4</w:t>
      </w:r>
      <w:r>
        <w:t xml:space="preserve">. </w:t>
      </w:r>
      <w:r w:rsidR="00EF556A">
        <w:t xml:space="preserve">(Typically a short RT value in this context is less than 1 min and a long value &gt; 3 hr.) </w:t>
      </w:r>
      <w:r w:rsidR="007F3701">
        <w:t>Under these conditions, a false fit can result</w:t>
      </w:r>
      <w:r w:rsidR="003E3D1B">
        <w:t xml:space="preserve"> </w:t>
      </w:r>
      <w:r>
        <w:t xml:space="preserve">– the program is able to fit a curve, but the parameters are physically meaningless. </w:t>
      </w:r>
      <w:r w:rsidR="007F3701">
        <w:t>Consequently, i</w:t>
      </w:r>
      <w:r>
        <w:t xml:space="preserve">t is important for investigators </w:t>
      </w:r>
      <w:r w:rsidR="007F3701">
        <w:t xml:space="preserve">not to take the fitted values at face value but rather to consider them within the limits of sensitivity of the analysis. Fortunately, intuition is a good guide in most cases. For example, if dissociation of </w:t>
      </w:r>
      <w:r w:rsidR="001458D4">
        <w:t xml:space="preserve">a </w:t>
      </w:r>
      <w:r w:rsidR="007F3701">
        <w:t>test compound is rapid, a high-frequency of reads and an early first read time is necessary; in other words, detecting rapid dissociation requires rapid sampling of the binding reaction</w:t>
      </w:r>
      <w:r w:rsidR="00830F76">
        <w:t xml:space="preserve"> (45</w:t>
      </w:r>
      <w:proofErr w:type="gramStart"/>
      <w:r w:rsidR="00830F76">
        <w:t>,46</w:t>
      </w:r>
      <w:proofErr w:type="gramEnd"/>
      <w:r w:rsidR="00830F76">
        <w:t>)</w:t>
      </w:r>
      <w:r w:rsidR="007F3701">
        <w:t>. Reciprocally, detecting slow dissociation requires the duration of the assay to be long</w:t>
      </w:r>
      <w:r w:rsidR="00E9180D">
        <w:t xml:space="preserve"> </w:t>
      </w:r>
      <w:r w:rsidR="00830F76">
        <w:t>(45</w:t>
      </w:r>
      <w:proofErr w:type="gramStart"/>
      <w:r w:rsidR="00830F76">
        <w:t>,46</w:t>
      </w:r>
      <w:proofErr w:type="gramEnd"/>
      <w:r w:rsidR="00830F76">
        <w:t>)</w:t>
      </w:r>
      <w:r w:rsidR="007F3701">
        <w:t>.</w:t>
      </w:r>
    </w:p>
    <w:p w14:paraId="25514E31" w14:textId="7B9E2875" w:rsidR="007F3701" w:rsidRDefault="007F3701" w:rsidP="007501DA">
      <w:r>
        <w:tab/>
        <w:t>The limits of sensitivity were recently evaluated by simulation – Monte Carlo analysis was used to simulate virtual experiments under a variety of conditions. The reader is referred to refs</w:t>
      </w:r>
      <w:r w:rsidR="00830F76">
        <w:t xml:space="preserve"> (45</w:t>
      </w:r>
      <w:proofErr w:type="gramStart"/>
      <w:r w:rsidR="00830F76">
        <w:t>,46</w:t>
      </w:r>
      <w:proofErr w:type="gramEnd"/>
      <w:r w:rsidR="00830F76">
        <w:t>)</w:t>
      </w:r>
      <w:r>
        <w:t xml:space="preserve"> for a </w:t>
      </w:r>
      <w:r>
        <w:lastRenderedPageBreak/>
        <w:t xml:space="preserve">comprehensive </w:t>
      </w:r>
      <w:r w:rsidR="003E3D1B">
        <w:t>evaluation</w:t>
      </w:r>
      <w:r w:rsidR="009B37DA">
        <w:t xml:space="preserve">. </w:t>
      </w:r>
      <w:r w:rsidR="00EF556A">
        <w:t>In this chapter</w:t>
      </w:r>
      <w:r w:rsidR="009B37DA">
        <w:t xml:space="preserve">, </w:t>
      </w:r>
      <w:r w:rsidR="00B53D2C">
        <w:t>two</w:t>
      </w:r>
      <w:r w:rsidR="009B37DA">
        <w:t xml:space="preserve"> examples are presented to show</w:t>
      </w:r>
      <w:r w:rsidR="00E9180D">
        <w:t xml:space="preserve"> what the data look like when</w:t>
      </w:r>
      <w:r w:rsidR="009B37DA">
        <w:t xml:space="preserve"> the limits of sensitivity</w:t>
      </w:r>
      <w:r w:rsidR="00E9180D">
        <w:t xml:space="preserve"> are breached. The examples were constructed</w:t>
      </w:r>
      <w:r w:rsidR="009B37DA">
        <w:t xml:space="preserve"> using the </w:t>
      </w:r>
      <w:r w:rsidR="00E9180D">
        <w:t xml:space="preserve">easy-to-follow </w:t>
      </w:r>
      <w:r w:rsidR="009B37DA">
        <w:t>methods described in</w:t>
      </w:r>
      <w:r w:rsidR="00E9180D">
        <w:t xml:space="preserve"> </w:t>
      </w:r>
      <w:r w:rsidR="00D77E0B">
        <w:t>the supplementary information of</w:t>
      </w:r>
      <w:r w:rsidR="009B37DA">
        <w:t xml:space="preserve"> ref.</w:t>
      </w:r>
      <w:r w:rsidR="00830F76">
        <w:t xml:space="preserve"> (45)</w:t>
      </w:r>
      <w:r w:rsidR="00E9180D">
        <w:t>, which investigators can use to evaluate their own systems.</w:t>
      </w:r>
      <w:r w:rsidR="000F6EEE">
        <w:t xml:space="preserve"> Here </w:t>
      </w:r>
      <w:r w:rsidR="008656F4">
        <w:t xml:space="preserve">a best-case assay technology scenario is assumed, where there </w:t>
      </w:r>
      <w:r w:rsidR="00D77E0B">
        <w:t>are</w:t>
      </w:r>
      <w:r w:rsidR="008656F4">
        <w:t xml:space="preserve"> no major limitations on sampling frequency, </w:t>
      </w:r>
      <w:r w:rsidR="003E3D1B">
        <w:t>initial</w:t>
      </w:r>
      <w:r w:rsidR="008656F4">
        <w:t xml:space="preserve"> read time, </w:t>
      </w:r>
      <w:r w:rsidR="003E3D1B">
        <w:t>or</w:t>
      </w:r>
      <w:r w:rsidR="008656F4">
        <w:t xml:space="preserve"> </w:t>
      </w:r>
      <w:r w:rsidR="003E3D1B">
        <w:t xml:space="preserve">signal </w:t>
      </w:r>
      <w:r w:rsidR="008656F4">
        <w:t xml:space="preserve">stability (for example, a </w:t>
      </w:r>
      <w:r w:rsidR="003E3D1B" w:rsidRPr="003E3D1B">
        <w:t>resonance energy transfer</w:t>
      </w:r>
      <w:r w:rsidR="008656F4">
        <w:t xml:space="preserve"> continuous read assay with </w:t>
      </w:r>
      <w:proofErr w:type="spellStart"/>
      <w:r w:rsidR="008656F4">
        <w:t>autoinjectors</w:t>
      </w:r>
      <w:proofErr w:type="spellEnd"/>
      <w:r w:rsidR="008656F4">
        <w:t xml:space="preserve"> and a stable signal</w:t>
      </w:r>
      <w:r w:rsidR="001458D4">
        <w:t>; s</w:t>
      </w:r>
      <w:r w:rsidR="008656F4">
        <w:t>ee refs.</w:t>
      </w:r>
      <w:r w:rsidR="00830F76">
        <w:t xml:space="preserve"> (45</w:t>
      </w:r>
      <w:proofErr w:type="gramStart"/>
      <w:r w:rsidR="00830F76">
        <w:t>,46</w:t>
      </w:r>
      <w:proofErr w:type="gramEnd"/>
      <w:r w:rsidR="00830F76">
        <w:t>)</w:t>
      </w:r>
      <w:r w:rsidR="008656F4">
        <w:t xml:space="preserve"> for the impact of these technical limitations)</w:t>
      </w:r>
      <w:r w:rsidR="001458D4">
        <w:t>.</w:t>
      </w:r>
    </w:p>
    <w:p w14:paraId="0FAB18D4" w14:textId="20FBDAEE" w:rsidR="00D36F34" w:rsidRDefault="00D36F34" w:rsidP="007501DA">
      <w:r>
        <w:tab/>
      </w:r>
      <w:r w:rsidR="00900795">
        <w:t>Figure</w:t>
      </w:r>
      <w:r>
        <w:t xml:space="preserve"> 8 shows </w:t>
      </w:r>
      <w:r w:rsidR="00D77E0B">
        <w:t>a limit of sensitivity issue for</w:t>
      </w:r>
      <w:r w:rsidR="003E3D1B">
        <w:t xml:space="preserve"> </w:t>
      </w:r>
      <w:r w:rsidR="00D77E0B">
        <w:t xml:space="preserve">long </w:t>
      </w:r>
      <w:r w:rsidR="0080081D">
        <w:t>RT</w:t>
      </w:r>
      <w:r w:rsidR="003E3D1B">
        <w:t xml:space="preserve"> compounds</w:t>
      </w:r>
      <w:r w:rsidR="00D77E0B">
        <w:t xml:space="preserve">. This simulation shows </w:t>
      </w:r>
      <w:r>
        <w:t xml:space="preserve">the effect of </w:t>
      </w:r>
      <w:r w:rsidR="003E3D1B">
        <w:t xml:space="preserve">the assay </w:t>
      </w:r>
      <w:r>
        <w:t>run time</w:t>
      </w:r>
      <w:r w:rsidR="00D77E0B">
        <w:t xml:space="preserve"> (total observation time)</w:t>
      </w:r>
      <w:r>
        <w:t xml:space="preserve"> on</w:t>
      </w:r>
      <w:r w:rsidR="005F35A3">
        <w:t xml:space="preserve"> estimating the dissociation rate of</w:t>
      </w:r>
      <w:r>
        <w:t xml:space="preserve"> a compound with a long </w:t>
      </w:r>
      <w:r w:rsidR="0080081D">
        <w:t>RT</w:t>
      </w:r>
      <w:r>
        <w:t xml:space="preserve"> (</w:t>
      </w:r>
      <w:r w:rsidR="000404D4">
        <w:t>6</w:t>
      </w:r>
      <w:r>
        <w:t xml:space="preserve"> </w:t>
      </w:r>
      <w:proofErr w:type="spellStart"/>
      <w:r>
        <w:t>h</w:t>
      </w:r>
      <w:r w:rsidR="003E3D1B">
        <w:t>r</w:t>
      </w:r>
      <w:proofErr w:type="spellEnd"/>
      <w:r>
        <w:t xml:space="preserve">). If the run time is too short, the dissociation rate </w:t>
      </w:r>
      <w:r w:rsidR="00D77E0B">
        <w:t>o</w:t>
      </w:r>
      <w:r>
        <w:t xml:space="preserve">f the compound is poorly estimated (more precisely, the fitted </w:t>
      </w:r>
      <w:r w:rsidR="009367F1" w:rsidRPr="009367F1">
        <w:rPr>
          <w:i/>
          <w:iCs/>
        </w:rPr>
        <w:t>k</w:t>
      </w:r>
      <w:r w:rsidR="009367F1" w:rsidRPr="009367F1">
        <w:rPr>
          <w:vertAlign w:val="subscript"/>
        </w:rPr>
        <w:t>4</w:t>
      </w:r>
      <w:r w:rsidR="009367F1">
        <w:rPr>
          <w:vertAlign w:val="subscript"/>
        </w:rPr>
        <w:t xml:space="preserve"> </w:t>
      </w:r>
      <w:r>
        <w:t xml:space="preserve">value is highly variable between experimental runs). This is shown by the large range of fitted </w:t>
      </w:r>
      <w:r w:rsidR="003E3D1B" w:rsidRPr="003E3D1B">
        <w:rPr>
          <w:i/>
          <w:iCs/>
        </w:rPr>
        <w:t>k</w:t>
      </w:r>
      <w:r w:rsidRPr="003E3D1B">
        <w:rPr>
          <w:vertAlign w:val="subscript"/>
        </w:rPr>
        <w:t>4</w:t>
      </w:r>
      <w:r>
        <w:t xml:space="preserve"> values in </w:t>
      </w:r>
      <w:r w:rsidR="00900795">
        <w:t>Figure</w:t>
      </w:r>
      <w:r>
        <w:t xml:space="preserve"> 8A for a run time of 1 hr. Increasing the run time to 3 </w:t>
      </w:r>
      <w:proofErr w:type="spellStart"/>
      <w:r>
        <w:t>hr</w:t>
      </w:r>
      <w:proofErr w:type="spellEnd"/>
      <w:r>
        <w:t xml:space="preserve"> dramatically reduces the variability and increasing to 9 </w:t>
      </w:r>
      <w:proofErr w:type="spellStart"/>
      <w:r>
        <w:t>hr</w:t>
      </w:r>
      <w:proofErr w:type="spellEnd"/>
      <w:r>
        <w:t xml:space="preserve"> produces a further, slight improvement (</w:t>
      </w:r>
      <w:r w:rsidR="00900795">
        <w:t>Figure</w:t>
      </w:r>
      <w:r>
        <w:t xml:space="preserve"> 8A). The reason for the variability is obvious when the curves are examined (compare Fig 8</w:t>
      </w:r>
      <w:r w:rsidR="003E3D1B">
        <w:t xml:space="preserve"> panel </w:t>
      </w:r>
      <w:r>
        <w:t xml:space="preserve">B with panels C and D). At 1 </w:t>
      </w:r>
      <w:proofErr w:type="spellStart"/>
      <w:r>
        <w:t>hr</w:t>
      </w:r>
      <w:proofErr w:type="spellEnd"/>
      <w:r>
        <w:t xml:space="preserve">, the curve shape is poorly defined – the binding is still coming down from the peak and most of the curve is missing. It takes until 3 </w:t>
      </w:r>
      <w:proofErr w:type="spellStart"/>
      <w:r>
        <w:t>hr</w:t>
      </w:r>
      <w:proofErr w:type="spellEnd"/>
      <w:r>
        <w:t xml:space="preserve"> for binding to come down to the plateau, and up to 9 </w:t>
      </w:r>
      <w:proofErr w:type="spellStart"/>
      <w:r>
        <w:t>hr</w:t>
      </w:r>
      <w:proofErr w:type="spellEnd"/>
      <w:r>
        <w:t xml:space="preserve"> for the curve to be fully defined. For a more detailed description, see </w:t>
      </w:r>
      <w:r w:rsidR="00131CAC">
        <w:t xml:space="preserve">Figure </w:t>
      </w:r>
      <w:r w:rsidR="00131CAC" w:rsidRPr="009D5429">
        <w:rPr>
          <w:rStyle w:val="Processinginstructionchar"/>
        </w:rPr>
        <w:t>&lt;</w:t>
      </w:r>
      <w:proofErr w:type="gramStart"/>
      <w:r w:rsidR="00131CAC" w:rsidRPr="009D5429">
        <w:rPr>
          <w:rStyle w:val="Processinginstructionchar"/>
        </w:rPr>
        <w:t>?escape</w:t>
      </w:r>
      <w:proofErr w:type="gramEnd"/>
      <w:r w:rsidR="00131CAC" w:rsidRPr="009D5429">
        <w:rPr>
          <w:rStyle w:val="Processinginstructionchar"/>
        </w:rPr>
        <w:t>?&gt;</w:t>
      </w:r>
      <w:r w:rsidR="00131CAC">
        <w:t xml:space="preserve">2 </w:t>
      </w:r>
      <w:r>
        <w:t xml:space="preserve"> of ref.</w:t>
      </w:r>
      <w:r w:rsidR="00830F76">
        <w:t xml:space="preserve"> (46)</w:t>
      </w:r>
      <w:r>
        <w:t>.</w:t>
      </w:r>
      <w:r w:rsidR="00D77E0B">
        <w:t xml:space="preserve"> </w:t>
      </w:r>
      <w:r w:rsidR="000404D4">
        <w:t>Improvements in e</w:t>
      </w:r>
      <w:r w:rsidR="00D77E0B">
        <w:t xml:space="preserve">stimating long </w:t>
      </w:r>
      <w:r w:rsidR="0080081D">
        <w:t>RT</w:t>
      </w:r>
      <w:r w:rsidR="00D77E0B">
        <w:t xml:space="preserve"> values can also be </w:t>
      </w:r>
      <w:r w:rsidR="000404D4">
        <w:t>obtained</w:t>
      </w:r>
      <w:r w:rsidR="00D77E0B">
        <w:t xml:space="preserve"> by using tracers with longer </w:t>
      </w:r>
      <w:r w:rsidR="0080081D">
        <w:t>RT</w:t>
      </w:r>
      <w:r w:rsidR="00D77E0B">
        <w:t>s</w:t>
      </w:r>
      <w:r w:rsidR="00830F76">
        <w:t xml:space="preserve"> (46)</w:t>
      </w:r>
      <w:r w:rsidR="00D77E0B">
        <w:t>.</w:t>
      </w:r>
    </w:p>
    <w:p w14:paraId="1DB320EB" w14:textId="7C029230" w:rsidR="00F275C1" w:rsidRDefault="00F275C1" w:rsidP="007501DA"/>
    <w:p w14:paraId="6BA9906A" w14:textId="5E83244E" w:rsidR="000404D4" w:rsidRPr="000404D4" w:rsidRDefault="000404D4" w:rsidP="000404D4">
      <w:pPr>
        <w:rPr>
          <w:sz w:val="20"/>
        </w:rPr>
      </w:pPr>
    </w:p>
    <w:p w14:paraId="7B5DDB2C" w14:textId="77777777" w:rsidR="000404D4" w:rsidRDefault="000404D4" w:rsidP="007501DA"/>
    <w:p w14:paraId="6449F000" w14:textId="277B290F" w:rsidR="00F275C1" w:rsidRDefault="00D77E0B" w:rsidP="009367F1">
      <w:r>
        <w:tab/>
      </w:r>
      <w:r w:rsidR="00900795">
        <w:t>Figure</w:t>
      </w:r>
      <w:r>
        <w:t xml:space="preserve"> 9 shows a limit of sensitivity problem for short </w:t>
      </w:r>
      <w:r w:rsidR="000404D4">
        <w:t>RT compounds</w:t>
      </w:r>
      <w:r>
        <w:t>.</w:t>
      </w:r>
      <w:r w:rsidR="005F35A3">
        <w:t xml:space="preserve"> The simulation shows the effect of read frequency (the time interval between measurements of binding) on estimating the dissociation rate of a compound with a short </w:t>
      </w:r>
      <w:r w:rsidR="0080081D">
        <w:t>RT</w:t>
      </w:r>
      <w:r w:rsidR="005F35A3">
        <w:t xml:space="preserve"> (10 sec). If read frequency is too long (1 min), the dissociation rate is poorly estimated by the analysis, evident by the large spread of </w:t>
      </w:r>
      <w:r w:rsidR="009367F1" w:rsidRPr="009367F1">
        <w:rPr>
          <w:i/>
          <w:iCs/>
        </w:rPr>
        <w:t>k</w:t>
      </w:r>
      <w:r w:rsidR="005F35A3" w:rsidRPr="009367F1">
        <w:rPr>
          <w:vertAlign w:val="subscript"/>
        </w:rPr>
        <w:t>4</w:t>
      </w:r>
      <w:r w:rsidR="005F35A3">
        <w:t xml:space="preserve"> values in </w:t>
      </w:r>
      <w:r w:rsidR="00900795">
        <w:t>Figure</w:t>
      </w:r>
      <w:r w:rsidR="005F35A3">
        <w:t xml:space="preserve"> 9A. This can be overcome by increasing the read frequency. Increasing to 10 seconds substantially reduces the variability, and </w:t>
      </w:r>
      <w:r w:rsidR="00275B2B">
        <w:t>in</w:t>
      </w:r>
      <w:r w:rsidR="005F35A3">
        <w:t xml:space="preserve">creasing to 1 sec provides highly reproducible estimates of </w:t>
      </w:r>
      <w:bookmarkStart w:id="16" w:name="OLE_LINK17"/>
      <w:r w:rsidR="009367F1" w:rsidRPr="009367F1">
        <w:rPr>
          <w:i/>
          <w:iCs/>
        </w:rPr>
        <w:t>k</w:t>
      </w:r>
      <w:r w:rsidR="009367F1" w:rsidRPr="009367F1">
        <w:rPr>
          <w:vertAlign w:val="subscript"/>
        </w:rPr>
        <w:t>4</w:t>
      </w:r>
      <w:bookmarkEnd w:id="16"/>
      <w:r w:rsidR="005F35A3">
        <w:t xml:space="preserve"> (</w:t>
      </w:r>
      <w:r w:rsidR="00900795">
        <w:t>Figure</w:t>
      </w:r>
      <w:r w:rsidR="005F35A3">
        <w:t xml:space="preserve"> 9A). This makes intuitive sense – detecting events on the order of seconds is unlikely to be reliable with measurements separated by minutes. Simulations have also shown the first time point to be critical – if there is a delay between adding the target to the well and the first measurement, </w:t>
      </w:r>
      <w:r w:rsidR="009367F1" w:rsidRPr="009367F1">
        <w:rPr>
          <w:i/>
          <w:iCs/>
        </w:rPr>
        <w:t>k</w:t>
      </w:r>
      <w:r w:rsidR="009367F1" w:rsidRPr="009367F1">
        <w:rPr>
          <w:vertAlign w:val="subscript"/>
        </w:rPr>
        <w:t>4</w:t>
      </w:r>
      <w:r w:rsidR="005F35A3">
        <w:t xml:space="preserve"> can be poorly estimated for rapidly-dissociating compounds</w:t>
      </w:r>
      <w:r w:rsidR="00135E27">
        <w:t xml:space="preserve"> (</w:t>
      </w:r>
      <w:r w:rsidR="00275B2B">
        <w:t>45</w:t>
      </w:r>
      <w:r w:rsidR="00135E27">
        <w:t>)</w:t>
      </w:r>
      <w:r w:rsidR="005F35A3">
        <w:t xml:space="preserve">. For this reason, </w:t>
      </w:r>
      <w:proofErr w:type="spellStart"/>
      <w:r w:rsidR="005F35A3">
        <w:t>autoinjectors</w:t>
      </w:r>
      <w:proofErr w:type="spellEnd"/>
      <w:r w:rsidR="005F35A3">
        <w:t xml:space="preserve"> on the reader are advised for quantifying short </w:t>
      </w:r>
      <w:r w:rsidR="0080081D">
        <w:t>RT</w:t>
      </w:r>
      <w:r w:rsidR="005F35A3">
        <w:t>s</w:t>
      </w:r>
      <w:r w:rsidR="00F275C1">
        <w:t>.</w:t>
      </w:r>
    </w:p>
    <w:p w14:paraId="2C093353" w14:textId="2560EE8E" w:rsidR="009367F1" w:rsidRPr="009367F1" w:rsidRDefault="009367F1" w:rsidP="009367F1">
      <w:pPr>
        <w:rPr>
          <w:sz w:val="20"/>
        </w:rPr>
      </w:pPr>
    </w:p>
    <w:p w14:paraId="61156982" w14:textId="266FBD2B" w:rsidR="00776D38" w:rsidRDefault="003F5A77" w:rsidP="00180634">
      <w:pPr>
        <w:pStyle w:val="Heading3"/>
      </w:pPr>
      <w:r>
        <w:t>Adaptations of the M</w:t>
      </w:r>
      <w:r w:rsidR="00776D38">
        <w:t>ethod</w:t>
      </w:r>
    </w:p>
    <w:p w14:paraId="0BDD588D" w14:textId="4A5F5D2E" w:rsidR="00776D38" w:rsidRDefault="0044666A" w:rsidP="00776D38">
      <w:r>
        <w:tab/>
        <w:t>The competition kinetics equation makes several assumptions regarding the binding mechanism and experimental setup that are not always applicable and/or desirable. To accommodate adaptations, new equations have been derived that investigators can use to analyze their data.</w:t>
      </w:r>
    </w:p>
    <w:p w14:paraId="47868CB8" w14:textId="0FD154F9" w:rsidR="0044666A" w:rsidRDefault="0044666A" w:rsidP="00776D38"/>
    <w:p w14:paraId="6CB59E09" w14:textId="0E568041" w:rsidR="0044666A" w:rsidRDefault="003F5A77" w:rsidP="00180634">
      <w:pPr>
        <w:pStyle w:val="Heading4"/>
      </w:pPr>
      <w:bookmarkStart w:id="17" w:name="_Rapid_Dissociation_of"/>
      <w:bookmarkEnd w:id="17"/>
      <w:r w:rsidRPr="003F5A77">
        <w:t>Rapid Dissociation of Unlabeled Compound</w:t>
      </w:r>
    </w:p>
    <w:p w14:paraId="7C171783" w14:textId="3AE2E483" w:rsidR="0044666A" w:rsidRDefault="0044666A" w:rsidP="00776D38">
      <w:r>
        <w:tab/>
        <w:t xml:space="preserve">Sometimes the dissociation of test compound is too rapid for the method to quantify </w:t>
      </w:r>
      <w:r w:rsidR="00431CB2" w:rsidRPr="00431CB2">
        <w:rPr>
          <w:i/>
          <w:iCs/>
        </w:rPr>
        <w:t>k</w:t>
      </w:r>
      <w:r w:rsidRPr="00431CB2">
        <w:rPr>
          <w:vertAlign w:val="subscript"/>
        </w:rPr>
        <w:t>4</w:t>
      </w:r>
      <w:r>
        <w:t xml:space="preserve"> reliably, within the constraints of the assay design (see “Limits of sensitivity” above). This can result in a false-fit to the data – the curve-fitting algorithm will fit a curve, but the parameter values are physically unrealistic. This is shown in Box 5</w:t>
      </w:r>
      <w:r w:rsidR="00431CB2">
        <w:t xml:space="preserve"> (bottom graph and table). </w:t>
      </w:r>
      <w:r>
        <w:t xml:space="preserve">When engaged in an SAR campaign, </w:t>
      </w:r>
      <w:r w:rsidR="00214B96">
        <w:t>there is no</w:t>
      </w:r>
      <w:r>
        <w:t xml:space="preserve"> data</w:t>
      </w:r>
      <w:r w:rsidR="00214B96">
        <w:t xml:space="preserve"> output</w:t>
      </w:r>
      <w:r>
        <w:t xml:space="preserve"> from the experiment </w:t>
      </w:r>
      <w:r w:rsidR="00214B96">
        <w:t xml:space="preserve">for these compounds, </w:t>
      </w:r>
      <w:r>
        <w:t>which can be inconvenient</w:t>
      </w:r>
      <w:r w:rsidR="00214B96">
        <w:t>, for example when tabulating activity</w:t>
      </w:r>
      <w:r>
        <w:t xml:space="preserve">. </w:t>
      </w:r>
      <w:r w:rsidR="007F6177">
        <w:t>To solve this problem, an equation has been derived that returns the value of the equilibrium binding affinity of such rapidly-dissociating compounds</w:t>
      </w:r>
      <w:r w:rsidR="00D6365E">
        <w:t xml:space="preserve"> </w:t>
      </w:r>
      <w:r w:rsidR="00135E27">
        <w:t>(51)</w:t>
      </w:r>
      <w:r w:rsidR="00D6365E">
        <w:t xml:space="preserve"> (</w:t>
      </w:r>
      <w:r w:rsidR="006D7706">
        <w:t xml:space="preserve">see </w:t>
      </w:r>
      <w:r w:rsidR="00D6365E">
        <w:t>Appendix,</w:t>
      </w:r>
      <w:r w:rsidR="006D7706" w:rsidRPr="006D7706">
        <w:t xml:space="preserve"> </w:t>
      </w:r>
      <w:hyperlink w:anchor="_Adaptation_for_Rapidly-Dissociating" w:history="1">
        <w:r w:rsidR="006D7706" w:rsidRPr="006D7706">
          <w:rPr>
            <w:rStyle w:val="Hyperlink"/>
          </w:rPr>
          <w:t>Adaptation for Rapidly-Dissociating Compounds</w:t>
        </w:r>
      </w:hyperlink>
      <w:r w:rsidR="00D6365E">
        <w:t>).</w:t>
      </w:r>
      <w:r w:rsidR="007F6177">
        <w:t xml:space="preserve"> This is achievable because the compound can be assumed to be at equilibrium with the unbound </w:t>
      </w:r>
      <w:r w:rsidR="009C7E70">
        <w:t>target</w:t>
      </w:r>
      <w:r w:rsidR="007F6177">
        <w:t>s immediately after the target is added and throughout the time course of the experiment.</w:t>
      </w:r>
    </w:p>
    <w:p w14:paraId="4080A6F2" w14:textId="5933EB0D" w:rsidR="0044666A" w:rsidRDefault="00BC16DD" w:rsidP="0044666A">
      <w:r>
        <w:tab/>
        <w:t>The experiment is run identically to the competition kinetics assay but a different equation is used to analyze the data</w:t>
      </w:r>
      <w:r w:rsidR="00135E27">
        <w:t xml:space="preserve"> (51</w:t>
      </w:r>
      <w:proofErr w:type="gramStart"/>
      <w:r w:rsidR="00135E27">
        <w:t>,52</w:t>
      </w:r>
      <w:proofErr w:type="gramEnd"/>
      <w:r w:rsidR="00135E27">
        <w:t>)</w:t>
      </w:r>
      <w:r>
        <w:t xml:space="preserve">. A step-by-step guide for running the analysis is </w:t>
      </w:r>
      <w:r w:rsidR="00002E90">
        <w:t xml:space="preserve">provided </w:t>
      </w:r>
      <w:r w:rsidR="000E5228">
        <w:t xml:space="preserve">in the supplementary </w:t>
      </w:r>
      <w:r>
        <w:t>file, “</w:t>
      </w:r>
      <w:hyperlink r:id="rId20" w:history="1">
        <w:r w:rsidRPr="000E5228">
          <w:rPr>
            <w:rStyle w:val="Hyperlink"/>
          </w:rPr>
          <w:t>Rapid competitor data analysis</w:t>
        </w:r>
      </w:hyperlink>
      <w:r>
        <w:t xml:space="preserve">.” The first step in the analysis is to determine the </w:t>
      </w:r>
      <w:r w:rsidR="00431CB2" w:rsidRPr="001503F1">
        <w:rPr>
          <w:i/>
          <w:iCs/>
        </w:rPr>
        <w:t>k</w:t>
      </w:r>
      <w:r w:rsidR="00431CB2" w:rsidRPr="001503F1">
        <w:rPr>
          <w:vertAlign w:val="subscript"/>
        </w:rPr>
        <w:t>1</w:t>
      </w:r>
      <w:r>
        <w:t xml:space="preserve"> value of the tracer, and this is done as described </w:t>
      </w:r>
      <w:r w:rsidR="00D6365E">
        <w:t>above (</w:t>
      </w:r>
      <w:hyperlink w:anchor="_Data_Analysis" w:history="1">
        <w:r w:rsidR="00426499" w:rsidRPr="00426499">
          <w:rPr>
            <w:rStyle w:val="Hyperlink"/>
          </w:rPr>
          <w:t>Data Analysis</w:t>
        </w:r>
      </w:hyperlink>
      <w:r w:rsidR="00D6365E">
        <w:t>)</w:t>
      </w:r>
      <w:r>
        <w:t>. The next step is to analyze the test compound data with the equation</w:t>
      </w:r>
      <w:r w:rsidR="00EF556A">
        <w:t xml:space="preserve"> (Eq. 5 below)</w:t>
      </w:r>
      <w:r>
        <w:t xml:space="preserve">. </w:t>
      </w:r>
      <w:r w:rsidR="007F6177">
        <w:t xml:space="preserve">Unfortunately, this equation is not built-in to commercial curve-fitting software so </w:t>
      </w:r>
      <w:r w:rsidR="00297244">
        <w:t xml:space="preserve">it </w:t>
      </w:r>
      <w:r w:rsidR="007F6177">
        <w:t xml:space="preserve">must be loaded in as a user-defined equation. </w:t>
      </w:r>
      <w:r>
        <w:t>Fortunately, a</w:t>
      </w:r>
      <w:r w:rsidR="007F6177">
        <w:t xml:space="preserve"> simple way of doing this</w:t>
      </w:r>
      <w:r>
        <w:t xml:space="preserve"> is available</w:t>
      </w:r>
      <w:r w:rsidR="007F6177">
        <w:t xml:space="preserve"> in Prism</w:t>
      </w:r>
      <w:r>
        <w:t>. T</w:t>
      </w:r>
      <w:r w:rsidR="007F6177">
        <w:t xml:space="preserve">he user downloads a Prism file containing the equation </w:t>
      </w:r>
      <w:r w:rsidR="00DA2B7E">
        <w:t>(</w:t>
      </w:r>
      <w:hyperlink r:id="rId21" w:history="1">
        <w:r w:rsidR="00DA2B7E" w:rsidRPr="00DA2B7E">
          <w:rPr>
            <w:rStyle w:val="Hyperlink"/>
          </w:rPr>
          <w:t>Custom equations for binding kinetics</w:t>
        </w:r>
      </w:hyperlink>
      <w:r w:rsidR="00DA2B7E">
        <w:t xml:space="preserve">) </w:t>
      </w:r>
      <w:r w:rsidR="007F6177">
        <w:t xml:space="preserve">and then with a couple of mouse clicks loads the equation into the library on their computer. </w:t>
      </w:r>
      <w:r>
        <w:t xml:space="preserve">This is explained in the </w:t>
      </w:r>
      <w:r w:rsidR="000E5228">
        <w:t>supplementary f</w:t>
      </w:r>
      <w:r w:rsidR="001173A2">
        <w:t>ile</w:t>
      </w:r>
      <w:r w:rsidR="00451FB2">
        <w:t xml:space="preserve"> </w:t>
      </w:r>
      <w:r>
        <w:t>“</w:t>
      </w:r>
      <w:hyperlink r:id="rId22" w:history="1">
        <w:r w:rsidRPr="000E5228">
          <w:rPr>
            <w:rStyle w:val="Hyperlink"/>
          </w:rPr>
          <w:t xml:space="preserve">Loading equations into Prism from a </w:t>
        </w:r>
        <w:r w:rsidR="00002E90" w:rsidRPr="000E5228">
          <w:rPr>
            <w:rStyle w:val="Hyperlink"/>
          </w:rPr>
          <w:t>file</w:t>
        </w:r>
      </w:hyperlink>
      <w:r w:rsidR="00451FB2">
        <w:t>.</w:t>
      </w:r>
      <w:r>
        <w:t>”</w:t>
      </w:r>
    </w:p>
    <w:p w14:paraId="0546FCCA" w14:textId="7E14482D" w:rsidR="00002E90" w:rsidRDefault="00002E90" w:rsidP="0044666A">
      <w:r>
        <w:tab/>
        <w:t xml:space="preserve">The analysis is run in the same way as the competition kinetics analysis, just with a different equation. Data for all concentrations of compound are analyzed simultaneously, giving a global fit that provides an estimate of the equilibrium binding affinity of the unlabeled compound for the </w:t>
      </w:r>
      <w:r w:rsidR="004872E9">
        <w:t xml:space="preserve">target </w:t>
      </w:r>
      <w:r>
        <w:t>(</w:t>
      </w:r>
      <w:r w:rsidR="00451FB2">
        <w:rPr>
          <w:i/>
          <w:iCs/>
        </w:rPr>
        <w:t>K</w:t>
      </w:r>
      <w:r w:rsidR="00451FB2">
        <w:rPr>
          <w:vertAlign w:val="subscript"/>
        </w:rPr>
        <w:t>i</w:t>
      </w:r>
      <m:oMath>
        <m:r>
          <w:rPr>
            <w:rFonts w:ascii="Cambria Math" w:hAnsi="Cambria Math"/>
          </w:rPr>
          <m:t>)</m:t>
        </m:r>
      </m:oMath>
      <w:r>
        <w:t>. The equation is</w:t>
      </w:r>
      <w:r w:rsidR="00604670">
        <w:t xml:space="preserve"> Eq. 5</w:t>
      </w:r>
      <w:r w:rsidR="00135E27">
        <w:t xml:space="preserve"> (51</w:t>
      </w:r>
      <w:proofErr w:type="gramStart"/>
      <w:r w:rsidR="00135E27">
        <w:t>,52</w:t>
      </w:r>
      <w:proofErr w:type="gramEnd"/>
      <w:r w:rsidR="00135E27">
        <w:t>)</w:t>
      </w:r>
      <w:r w:rsidR="00604670">
        <w:t>:</w:t>
      </w:r>
    </w:p>
    <w:p w14:paraId="312C622D" w14:textId="77777777" w:rsidR="00002E90" w:rsidRDefault="00002E90" w:rsidP="0044666A"/>
    <w:p w14:paraId="1CDBB0F5" w14:textId="6B21CFC5" w:rsidR="00002E90" w:rsidRPr="00BE01EC" w:rsidRDefault="00CF1AF2" w:rsidP="00BE01EC">
      <w:pPr>
        <w:pStyle w:val="Equation"/>
        <w:rPr>
          <w:rStyle w:val="LabelorNumber"/>
        </w:rPr>
      </w:pPr>
      <m:oMath>
        <m:sSub>
          <m:sSubPr>
            <m:ctrlPr>
              <w:rPr>
                <w:rFonts w:ascii="Cambria Math" w:hAnsi="Cambria Math"/>
              </w:rPr>
            </m:ctrlPr>
          </m:sSubPr>
          <m:e>
            <m:r>
              <m:rPr>
                <m:sty m:val="p"/>
              </m:rPr>
              <w:rPr>
                <w:rFonts w:ascii="Cambria Math" w:hAnsi="Cambria Math"/>
              </w:rPr>
              <m:t>[RL]</m:t>
            </m:r>
          </m:e>
          <m:sub>
            <m:r>
              <w:rPr>
                <w:rFonts w:ascii="Cambria Math" w:hAnsi="Cambria Math"/>
              </w:rPr>
              <m:t>t</m:t>
            </m:r>
          </m:sub>
        </m:sSub>
        <m:r>
          <m:rPr>
            <m:sty m:val="p"/>
          </m:rPr>
          <w:rPr>
            <w:rFonts w:ascii="Cambria Math" w:hAnsi="Cambria Math"/>
          </w:rPr>
          <m:t>=</m:t>
        </m:r>
        <m:f>
          <m:fPr>
            <m:ctrlPr>
              <w:rPr>
                <w:rFonts w:ascii="Cambria Math" w:hAnsi="Cambria Math"/>
              </w:rPr>
            </m:ctrlPr>
          </m:fPr>
          <m:num>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max</m:t>
                </m:r>
              </m:sub>
            </m:sSub>
            <m:d>
              <m:dPr>
                <m:begChr m:val="["/>
                <m:endChr m:val="]"/>
                <m:ctrlPr>
                  <w:rPr>
                    <w:rFonts w:ascii="Cambria Math" w:hAnsi="Cambria Math"/>
                  </w:rPr>
                </m:ctrlPr>
              </m:dPr>
              <m:e>
                <m:r>
                  <m:rPr>
                    <m:sty m:val="p"/>
                  </m:rPr>
                  <w:rPr>
                    <w:rFonts w:ascii="Cambria Math" w:hAnsi="Cambria Math"/>
                  </w:rPr>
                  <m:t>L</m:t>
                </m:r>
              </m:e>
            </m:d>
            <m:sSub>
              <m:sSubPr>
                <m:ctrlPr>
                  <w:rPr>
                    <w:rFonts w:ascii="Cambria Math" w:hAnsi="Cambria Math"/>
                  </w:rPr>
                </m:ctrlPr>
              </m:sSubPr>
              <m:e>
                <m:r>
                  <w:rPr>
                    <w:rFonts w:ascii="Cambria Math" w:hAnsi="Cambria Math"/>
                  </w:rPr>
                  <m:t>k</m:t>
                </m:r>
              </m:e>
              <m:sub>
                <m:r>
                  <m:rPr>
                    <m:sty m:val="p"/>
                  </m:rPr>
                  <w:rPr>
                    <w:rFonts w:ascii="Cambria Math" w:hAnsi="Cambria Math"/>
                  </w:rPr>
                  <m:t>1</m:t>
                </m:r>
              </m:sub>
            </m:sSub>
            <m:d>
              <m:dPr>
                <m:ctrlPr>
                  <w:rPr>
                    <w:rFonts w:ascii="Cambria Math" w:hAnsi="Cambria Math"/>
                  </w:rPr>
                </m:ctrlPr>
              </m:dPr>
              <m:e>
                <m:r>
                  <m:rPr>
                    <m:sty m:val="p"/>
                  </m:rPr>
                  <w:rPr>
                    <w:rFonts w:ascii="Cambria Math" w:hAnsi="Cambria Math"/>
                  </w:rPr>
                  <m:t>1-</m:t>
                </m:r>
                <m:sSub>
                  <m:sSubPr>
                    <m:ctrlPr>
                      <w:rPr>
                        <w:rFonts w:ascii="Cambria Math" w:hAnsi="Cambria Math"/>
                      </w:rPr>
                    </m:ctrlPr>
                  </m:sSubPr>
                  <m:e>
                    <m:r>
                      <w:rPr>
                        <w:rFonts w:ascii="Cambria Math" w:hAnsi="Cambria Math"/>
                      </w:rPr>
                      <m:t>ρ</m:t>
                    </m:r>
                  </m:e>
                  <m:sub>
                    <m:r>
                      <w:rPr>
                        <w:rFonts w:ascii="Cambria Math" w:hAnsi="Cambria Math"/>
                      </w:rPr>
                      <m:t>I</m:t>
                    </m:r>
                  </m:sub>
                </m:sSub>
              </m:e>
            </m:d>
          </m:num>
          <m:den>
            <m:sSub>
              <m:sSubPr>
                <m:ctrlPr>
                  <w:rPr>
                    <w:rFonts w:ascii="Cambria Math" w:hAnsi="Cambria Math"/>
                  </w:rPr>
                </m:ctrlPr>
              </m:sSubPr>
              <m:e>
                <m:r>
                  <w:rPr>
                    <w:rFonts w:ascii="Cambria Math" w:hAnsi="Cambria Math"/>
                  </w:rPr>
                  <m:t>k</m:t>
                </m:r>
              </m:e>
              <m:sub>
                <m:r>
                  <w:rPr>
                    <w:rFonts w:ascii="Cambria Math" w:hAnsi="Cambria Math"/>
                  </w:rPr>
                  <m:t>obs</m:t>
                </m:r>
              </m:sub>
            </m:sSub>
          </m:den>
        </m:f>
        <m:d>
          <m:dPr>
            <m:ctrlPr>
              <w:rPr>
                <w:rFonts w:ascii="Cambria Math" w:hAnsi="Cambria Math"/>
              </w:rPr>
            </m:ctrlPr>
          </m:dPr>
          <m:e>
            <m:r>
              <m:rPr>
                <m:sty m:val="p"/>
              </m:rPr>
              <w:rPr>
                <w:rFonts w:ascii="Cambria Math" w:hAnsi="Cambria Math"/>
              </w:rPr>
              <m:t>1-</m:t>
            </m:r>
            <m:sSup>
              <m:sSupPr>
                <m:ctrlPr>
                  <w:rPr>
                    <w:rFonts w:ascii="Cambria Math" w:hAnsi="Cambria Math"/>
                  </w:rPr>
                </m:ctrlPr>
              </m:sSupPr>
              <m:e>
                <m:r>
                  <w:rPr>
                    <w:rFonts w:ascii="Cambria Math" w:hAnsi="Cambria Math"/>
                  </w:rPr>
                  <m:t>e</m:t>
                </m:r>
              </m:e>
              <m:sup>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obs</m:t>
                    </m:r>
                  </m:sub>
                </m:sSub>
                <m:r>
                  <w:rPr>
                    <w:rFonts w:ascii="Cambria Math" w:hAnsi="Cambria Math"/>
                  </w:rPr>
                  <m:t>t</m:t>
                </m:r>
              </m:sup>
            </m:sSup>
          </m:e>
        </m:d>
      </m:oMath>
      <w:r w:rsidR="00477631">
        <w:rPr>
          <w:rFonts w:eastAsiaTheme="minorEastAsia"/>
        </w:rPr>
        <w:tab/>
      </w:r>
      <w:r w:rsidR="00604670" w:rsidRPr="00BE01EC">
        <w:rPr>
          <w:rStyle w:val="LabelorNumber"/>
          <w:rFonts w:eastAsiaTheme="minorEastAsia"/>
        </w:rPr>
        <w:t>Eq. 5</w:t>
      </w:r>
    </w:p>
    <w:p w14:paraId="045675F8" w14:textId="77777777" w:rsidR="00604670" w:rsidRDefault="00604670" w:rsidP="00002E90"/>
    <w:p w14:paraId="6817B251" w14:textId="77777777" w:rsidR="00604670" w:rsidRDefault="00604670" w:rsidP="00002E90"/>
    <w:p w14:paraId="33206007" w14:textId="03F84FBD" w:rsidR="00002E90" w:rsidRDefault="00002E90" w:rsidP="00002E90">
      <w:proofErr w:type="gramStart"/>
      <w:r>
        <w:t>where</w:t>
      </w:r>
      <w:proofErr w:type="gramEnd"/>
      <w:r>
        <w:t>,</w:t>
      </w:r>
    </w:p>
    <w:p w14:paraId="7C10A8C8" w14:textId="2D41DB96" w:rsidR="00002E90" w:rsidRPr="0067738F" w:rsidRDefault="00CF1AF2" w:rsidP="00BE01EC">
      <w:pPr>
        <w:pStyle w:val="Equation"/>
      </w:pPr>
      <m:oMathPara>
        <m:oMath>
          <m:sSub>
            <m:sSubPr>
              <m:ctrlPr>
                <w:rPr>
                  <w:rFonts w:ascii="Cambria Math" w:hAnsi="Cambria Math"/>
                </w:rPr>
              </m:ctrlPr>
            </m:sSubPr>
            <m:e>
              <m:r>
                <w:rPr>
                  <w:rFonts w:ascii="Cambria Math" w:hAnsi="Cambria Math"/>
                </w:rPr>
                <m:t>ρ</m:t>
              </m:r>
            </m:e>
            <m:sub>
              <m:r>
                <w:rPr>
                  <w:rFonts w:ascii="Cambria Math" w:hAnsi="Cambria Math"/>
                </w:rPr>
                <m:t>I</m:t>
              </m:r>
            </m:sub>
          </m:sSub>
          <m:r>
            <m:rPr>
              <m:sty m:val="p"/>
            </m:rPr>
            <w:rPr>
              <w:rFonts w:ascii="Cambria Math" w:hAnsi="Cambria Math"/>
            </w:rPr>
            <m:t>=</m:t>
          </m:r>
          <m:f>
            <m:fPr>
              <m:ctrlPr>
                <w:rPr>
                  <w:rFonts w:ascii="Cambria Math" w:hAnsi="Cambria Math"/>
                </w:rPr>
              </m:ctrlPr>
            </m:fPr>
            <m:num>
              <m:r>
                <m:rPr>
                  <m:sty m:val="p"/>
                </m:rPr>
                <w:rPr>
                  <w:rFonts w:ascii="Cambria Math" w:hAnsi="Cambria Math"/>
                </w:rPr>
                <m:t>[I]</m:t>
              </m:r>
            </m:num>
            <m:den>
              <m:sSub>
                <m:sSubPr>
                  <m:ctrlPr>
                    <w:rPr>
                      <w:rFonts w:ascii="Cambria Math" w:hAnsi="Cambria Math"/>
                    </w:rPr>
                  </m:ctrlPr>
                </m:sSubPr>
                <m:e>
                  <m:r>
                    <w:rPr>
                      <w:rFonts w:ascii="Cambria Math" w:hAnsi="Cambria Math"/>
                    </w:rPr>
                    <m:t>K</m:t>
                  </m:r>
                </m:e>
                <m:sub>
                  <m:r>
                    <m:rPr>
                      <m:sty m:val="p"/>
                    </m:rPr>
                    <w:rPr>
                      <w:rFonts w:ascii="Cambria Math" w:hAnsi="Cambria Math"/>
                    </w:rPr>
                    <m:t>i</m:t>
                  </m:r>
                </m:sub>
              </m:sSub>
              <m:r>
                <m:rPr>
                  <m:sty m:val="p"/>
                </m:rPr>
                <w:rPr>
                  <w:rFonts w:ascii="Cambria Math" w:hAnsi="Cambria Math"/>
                </w:rPr>
                <m:t>+[I]</m:t>
              </m:r>
            </m:den>
          </m:f>
        </m:oMath>
      </m:oMathPara>
    </w:p>
    <w:p w14:paraId="2628025C" w14:textId="77777777" w:rsidR="00002E90" w:rsidRDefault="00002E90" w:rsidP="00002E90"/>
    <w:p w14:paraId="67EF4714" w14:textId="3F66C119" w:rsidR="00002E90" w:rsidRPr="00214B96" w:rsidRDefault="00CF1AF2" w:rsidP="00BE01EC">
      <w:pPr>
        <w:pStyle w:val="Equation"/>
      </w:pPr>
      <m:oMathPara>
        <m:oMath>
          <m:sSub>
            <m:sSubPr>
              <m:ctrlPr>
                <w:rPr>
                  <w:rFonts w:ascii="Cambria Math" w:hAnsi="Cambria Math"/>
                </w:rPr>
              </m:ctrlPr>
            </m:sSubPr>
            <m:e>
              <m:r>
                <w:rPr>
                  <w:rFonts w:ascii="Cambria Math" w:hAnsi="Cambria Math"/>
                </w:rPr>
                <m:t>k</m:t>
              </m:r>
            </m:e>
            <m:sub>
              <m:r>
                <w:rPr>
                  <w:rFonts w:ascii="Cambria Math" w:hAnsi="Cambria Math"/>
                </w:rPr>
                <m:t>obs</m:t>
              </m:r>
            </m:sub>
          </m:sSub>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L</m:t>
              </m:r>
            </m:e>
          </m:d>
          <m:sSub>
            <m:sSubPr>
              <m:ctrlPr>
                <w:rPr>
                  <w:rFonts w:ascii="Cambria Math" w:hAnsi="Cambria Math"/>
                </w:rPr>
              </m:ctrlPr>
            </m:sSubPr>
            <m:e>
              <m:r>
                <w:rPr>
                  <w:rFonts w:ascii="Cambria Math" w:hAnsi="Cambria Math"/>
                </w:rPr>
                <m:t>k</m:t>
              </m:r>
            </m:e>
            <m:sub>
              <m:r>
                <m:rPr>
                  <m:sty m:val="p"/>
                </m:rPr>
                <w:rPr>
                  <w:rFonts w:ascii="Cambria Math" w:hAnsi="Cambria Math"/>
                </w:rPr>
                <m:t>1</m:t>
              </m:r>
            </m:sub>
          </m:sSub>
          <m:d>
            <m:dPr>
              <m:ctrlPr>
                <w:rPr>
                  <w:rFonts w:ascii="Cambria Math" w:hAnsi="Cambria Math"/>
                </w:rPr>
              </m:ctrlPr>
            </m:dPr>
            <m:e>
              <m:r>
                <m:rPr>
                  <m:sty m:val="p"/>
                </m:rPr>
                <w:rPr>
                  <w:rFonts w:ascii="Cambria Math" w:hAnsi="Cambria Math"/>
                </w:rPr>
                <m:t>1-</m:t>
              </m:r>
              <m:sSub>
                <m:sSubPr>
                  <m:ctrlPr>
                    <w:rPr>
                      <w:rFonts w:ascii="Cambria Math" w:hAnsi="Cambria Math"/>
                    </w:rPr>
                  </m:ctrlPr>
                </m:sSubPr>
                <m:e>
                  <m:r>
                    <w:rPr>
                      <w:rFonts w:ascii="Cambria Math" w:hAnsi="Cambria Math"/>
                    </w:rPr>
                    <m:t>ρ</m:t>
                  </m:r>
                </m:e>
                <m:sub>
                  <m:r>
                    <w:rPr>
                      <w:rFonts w:ascii="Cambria Math" w:hAnsi="Cambria Math"/>
                    </w:rPr>
                    <m:t>I</m:t>
                  </m:r>
                </m:sub>
              </m:sSub>
            </m:e>
          </m:d>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6186CB4A" w14:textId="77777777" w:rsidR="00002E90" w:rsidRPr="00214B96" w:rsidRDefault="00002E90" w:rsidP="00002E90"/>
    <w:p w14:paraId="0B31CDD9" w14:textId="56ABC67F" w:rsidR="00002E90" w:rsidRDefault="00002E90" w:rsidP="00002E90">
      <w:r>
        <w:lastRenderedPageBreak/>
        <w:t xml:space="preserve">(Note </w:t>
      </w:r>
      <m:oMath>
        <m:sSub>
          <m:sSubPr>
            <m:ctrlPr>
              <w:rPr>
                <w:rFonts w:ascii="Cambria Math" w:hAnsi="Cambria Math"/>
                <w:i/>
              </w:rPr>
            </m:ctrlPr>
          </m:sSubPr>
          <m:e>
            <m:r>
              <w:rPr>
                <w:rFonts w:ascii="Cambria Math" w:hAnsi="Cambria Math"/>
              </w:rPr>
              <m:t>ρ</m:t>
            </m:r>
          </m:e>
          <m:sub>
            <m:r>
              <w:rPr>
                <w:rFonts w:ascii="Cambria Math" w:hAnsi="Cambria Math"/>
              </w:rPr>
              <m:t>I</m:t>
            </m:r>
          </m:sub>
        </m:sSub>
      </m:oMath>
      <w:r>
        <w:t xml:space="preserve"> and </w:t>
      </w:r>
      <m:oMath>
        <m:sSub>
          <m:sSubPr>
            <m:ctrlPr>
              <w:rPr>
                <w:rFonts w:ascii="Cambria Math" w:hAnsi="Cambria Math"/>
                <w:i/>
              </w:rPr>
            </m:ctrlPr>
          </m:sSubPr>
          <m:e>
            <m:r>
              <w:rPr>
                <w:rFonts w:ascii="Cambria Math" w:hAnsi="Cambria Math"/>
              </w:rPr>
              <m:t>k</m:t>
            </m:r>
          </m:e>
          <m:sub>
            <m:r>
              <w:rPr>
                <w:rFonts w:ascii="Cambria Math" w:hAnsi="Cambria Math"/>
              </w:rPr>
              <m:t>obs</m:t>
            </m:r>
          </m:sub>
        </m:sSub>
      </m:oMath>
      <w:r>
        <w:t xml:space="preserve"> are composite parameters introduced to simplify writing of the equation into curve-fitting programs.) The fitted values are</w:t>
      </w:r>
      <w:r w:rsidR="00451FB2">
        <w:t xml:space="preserve"> </w:t>
      </w:r>
      <m:oMath>
        <m:sSub>
          <m:sSubPr>
            <m:ctrlPr>
              <w:rPr>
                <w:rFonts w:ascii="Cambria Math" w:hAnsi="Cambria Math"/>
                <w:i/>
              </w:rPr>
            </m:ctrlPr>
          </m:sSubPr>
          <m:e>
            <m:r>
              <w:rPr>
                <w:rFonts w:ascii="Cambria Math" w:hAnsi="Cambria Math"/>
              </w:rPr>
              <m:t>K</m:t>
            </m:r>
          </m:e>
          <m:sub>
            <m:r>
              <m:rPr>
                <m:sty m:val="p"/>
              </m:rPr>
              <w:rPr>
                <w:rFonts w:ascii="Cambria Math" w:hAnsi="Cambria Math"/>
              </w:rPr>
              <m:t>i</m:t>
            </m:r>
          </m:sub>
        </m:sSub>
      </m:oMath>
      <w:r>
        <w:t xml:space="preserve"> and </w:t>
      </w:r>
      <m:oMath>
        <m:sSub>
          <m:sSubPr>
            <m:ctrlPr>
              <w:rPr>
                <w:rFonts w:ascii="Cambria Math" w:hAnsi="Cambria Math"/>
                <w:iCs/>
              </w:rPr>
            </m:ctrlPr>
          </m:sSubPr>
          <m:e>
            <m:r>
              <m:rPr>
                <m:sty m:val="p"/>
              </m:rPr>
              <w:rPr>
                <w:rFonts w:ascii="Cambria Math" w:hAnsi="Cambria Math"/>
              </w:rPr>
              <m:t>B</m:t>
            </m:r>
          </m:e>
          <m:sub>
            <m:r>
              <m:rPr>
                <m:sty m:val="p"/>
              </m:rPr>
              <w:rPr>
                <w:rFonts w:ascii="Cambria Math" w:hAnsi="Cambria Math"/>
              </w:rPr>
              <m:t>max</m:t>
            </m:r>
          </m:sub>
        </m:sSub>
      </m:oMath>
      <w:r>
        <w:t xml:space="preserve"> and the following parameters are entered as fixed, constant values - </w:t>
      </w:r>
      <m:oMath>
        <m:d>
          <m:dPr>
            <m:begChr m:val="["/>
            <m:endChr m:val="]"/>
            <m:ctrlPr>
              <w:rPr>
                <w:rFonts w:ascii="Cambria Math" w:hAnsi="Cambria Math"/>
                <w:i/>
              </w:rPr>
            </m:ctrlPr>
          </m:dPr>
          <m:e>
            <m:r>
              <m:rPr>
                <m:sty m:val="p"/>
              </m:rPr>
              <w:rPr>
                <w:rFonts w:ascii="Cambria Math" w:hAnsi="Cambria Math"/>
              </w:rPr>
              <m:t>L</m:t>
            </m:r>
          </m:e>
        </m:d>
      </m:oMath>
      <w:proofErr w:type="gramStart"/>
      <w:r>
        <w:t xml:space="preserve">, </w:t>
      </w:r>
      <w:proofErr w:type="gramEnd"/>
      <m:oMath>
        <m:r>
          <w:rPr>
            <w:rFonts w:ascii="Cambria Math" w:hAnsi="Cambria Math"/>
          </w:rPr>
          <m:t>[</m:t>
        </m:r>
        <m:r>
          <m:rPr>
            <m:sty m:val="p"/>
          </m:rPr>
          <w:rPr>
            <w:rFonts w:ascii="Cambria Math" w:hAnsi="Cambria Math"/>
          </w:rPr>
          <m:t>I</m:t>
        </m:r>
        <m:r>
          <w:rPr>
            <w:rFonts w:ascii="Cambria Math" w:hAnsi="Cambria Math"/>
          </w:rPr>
          <m:t>]</m:t>
        </m:r>
      </m:oMath>
      <w:r>
        <w:t xml:space="preserve">,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k</m:t>
            </m:r>
          </m:e>
          <m:sub>
            <m:r>
              <w:rPr>
                <w:rFonts w:ascii="Cambria Math" w:hAnsi="Cambria Math"/>
              </w:rPr>
              <m:t>2</m:t>
            </m:r>
          </m:sub>
        </m:sSub>
      </m:oMath>
      <w:r>
        <w:t>.</w:t>
      </w:r>
    </w:p>
    <w:p w14:paraId="5AFEC99D" w14:textId="7B89753B" w:rsidR="00DB4325" w:rsidRDefault="00DB4325" w:rsidP="00002E90"/>
    <w:p w14:paraId="756EB568" w14:textId="7F8FB781" w:rsidR="00DB4325" w:rsidRDefault="003F5A77" w:rsidP="00180634">
      <w:pPr>
        <w:pStyle w:val="Heading4"/>
        <w:rPr>
          <w:rFonts w:eastAsiaTheme="minorEastAsia"/>
        </w:rPr>
      </w:pPr>
      <w:r>
        <w:rPr>
          <w:rFonts w:eastAsiaTheme="minorEastAsia"/>
        </w:rPr>
        <w:t>Pre-i</w:t>
      </w:r>
      <w:r w:rsidR="00D65B90">
        <w:rPr>
          <w:rFonts w:eastAsiaTheme="minorEastAsia"/>
        </w:rPr>
        <w:t>ncubating W</w:t>
      </w:r>
      <w:r w:rsidRPr="003F5A77">
        <w:rPr>
          <w:rFonts w:eastAsiaTheme="minorEastAsia"/>
        </w:rPr>
        <w:t>ith Test Compound</w:t>
      </w:r>
    </w:p>
    <w:p w14:paraId="3332526A" w14:textId="54ECD73D" w:rsidR="00DB4325" w:rsidRDefault="00DB4325" w:rsidP="00DB4325">
      <w:r>
        <w:tab/>
        <w:t>The order of reagent addition is constrained in the original competition kinetics method. The target must be exposed simultaneously to the labeled tracer and unlabeled test ligands, i.e. the target is added last to the assay</w:t>
      </w:r>
      <w:r w:rsidR="00E87AD9">
        <w:t xml:space="preserve"> (18</w:t>
      </w:r>
      <w:proofErr w:type="gramStart"/>
      <w:r w:rsidR="00E87AD9">
        <w:t>,19</w:t>
      </w:r>
      <w:proofErr w:type="gramEnd"/>
      <w:r w:rsidR="00E87AD9">
        <w:t>)</w:t>
      </w:r>
      <w:r>
        <w:t xml:space="preserve">. This is not always feasible within the workflow of the experiment. For example, when using plated cells it is difficult to expose the cells to both ligands at the same time – this requires ligands to be mixed together before adding to the assay. </w:t>
      </w:r>
      <w:r w:rsidR="00451FB2">
        <w:t>Instead, f</w:t>
      </w:r>
      <w:r>
        <w:t>or convenience, usually the test compound is added first, pre-incubated with the cells, then the tracer ligand is added</w:t>
      </w:r>
      <w:r w:rsidR="00D76B0A">
        <w:t>.</w:t>
      </w:r>
    </w:p>
    <w:p w14:paraId="64E2C642" w14:textId="1FE5C477" w:rsidR="001173A2" w:rsidRDefault="00D76B0A" w:rsidP="00DB4325">
      <w:r>
        <w:tab/>
      </w:r>
      <w:r w:rsidR="001173A2">
        <w:t>An e</w:t>
      </w:r>
      <w:r>
        <w:t>quation ha</w:t>
      </w:r>
      <w:r w:rsidR="001173A2">
        <w:t>s</w:t>
      </w:r>
      <w:r>
        <w:t xml:space="preserve"> been derived</w:t>
      </w:r>
      <w:r w:rsidR="00FC567F">
        <w:t xml:space="preserve"> t</w:t>
      </w:r>
      <w:r>
        <w:t xml:space="preserve">o handle pre-incubation of target with </w:t>
      </w:r>
      <w:r w:rsidR="0008680C">
        <w:t xml:space="preserve">unlabeled </w:t>
      </w:r>
      <w:r>
        <w:t>compound before application of tracer (</w:t>
      </w:r>
      <w:r w:rsidR="00900795">
        <w:t>Figure</w:t>
      </w:r>
      <w:r w:rsidR="0008680C">
        <w:t xml:space="preserve"> 1</w:t>
      </w:r>
      <w:r w:rsidR="00D15EE5">
        <w:t>0</w:t>
      </w:r>
      <w:r w:rsidR="001173A2">
        <w:t xml:space="preserve">, Eq. </w:t>
      </w:r>
      <w:r w:rsidR="00EA537B">
        <w:t>6</w:t>
      </w:r>
      <w:r w:rsidR="001173A2">
        <w:t xml:space="preserve">, see </w:t>
      </w:r>
      <w:hyperlink w:anchor="_Pre-incubating_with_Test" w:history="1">
        <w:r w:rsidR="006D7706" w:rsidRPr="006D7706">
          <w:rPr>
            <w:rStyle w:val="Hyperlink"/>
          </w:rPr>
          <w:t>Pre-incubating with Test Compound</w:t>
        </w:r>
      </w:hyperlink>
      <w:r w:rsidR="0008680C">
        <w:t>)</w:t>
      </w:r>
      <w:r w:rsidR="00E87AD9">
        <w:t xml:space="preserve"> (53,54)</w:t>
      </w:r>
      <w:r w:rsidR="001173A2">
        <w:t>.</w:t>
      </w:r>
      <w:r w:rsidR="0008680C">
        <w:t xml:space="preserve"> The equation</w:t>
      </w:r>
      <w:r w:rsidR="001173A2">
        <w:t xml:space="preserve"> is a</w:t>
      </w:r>
      <w:r w:rsidR="0008680C">
        <w:t xml:space="preserve"> </w:t>
      </w:r>
      <w:r w:rsidR="006640E1">
        <w:t xml:space="preserve">close analogue </w:t>
      </w:r>
      <w:r w:rsidR="0008680C">
        <w:t xml:space="preserve">of the competition kinetics equation </w:t>
      </w:r>
      <w:r w:rsidR="001173A2">
        <w:t>and is used in the same way</w:t>
      </w:r>
      <w:r w:rsidR="002A1C26">
        <w:t xml:space="preserve">, yielding fitted values of </w:t>
      </w:r>
      <w:r w:rsidR="00297244" w:rsidRPr="00297244">
        <w:rPr>
          <w:i/>
          <w:iCs/>
        </w:rPr>
        <w:t>k</w:t>
      </w:r>
      <w:r w:rsidR="00297244">
        <w:rPr>
          <w:vertAlign w:val="subscript"/>
        </w:rPr>
        <w:t>3</w:t>
      </w:r>
      <w:r w:rsidR="002A1C26">
        <w:t xml:space="preserve"> and </w:t>
      </w:r>
      <w:r w:rsidR="00431CB2" w:rsidRPr="00431CB2">
        <w:rPr>
          <w:i/>
          <w:iCs/>
        </w:rPr>
        <w:t>k</w:t>
      </w:r>
      <w:r w:rsidR="00431CB2" w:rsidRPr="00431CB2">
        <w:rPr>
          <w:vertAlign w:val="subscript"/>
        </w:rPr>
        <w:t>4</w:t>
      </w:r>
      <w:r w:rsidR="002A1C26">
        <w:t>, the binding rate constants of test compound</w:t>
      </w:r>
      <w:r w:rsidR="001173A2">
        <w:t>. To employ it in Prism, i</w:t>
      </w:r>
      <w:r w:rsidR="006640E1">
        <w:t>nvestigators are recommended to use the “</w:t>
      </w:r>
      <w:hyperlink r:id="rId23" w:history="1">
        <w:r w:rsidR="006640E1" w:rsidRPr="000E5228">
          <w:rPr>
            <w:rStyle w:val="Hyperlink"/>
          </w:rPr>
          <w:t>Competition kinetics analysis</w:t>
        </w:r>
      </w:hyperlink>
      <w:r w:rsidR="006640E1">
        <w:t xml:space="preserve">” guide in </w:t>
      </w:r>
      <w:r w:rsidR="000E5228">
        <w:t>supplementary f</w:t>
      </w:r>
      <w:r w:rsidR="001173A2">
        <w:t>iles</w:t>
      </w:r>
      <w:r w:rsidR="006640E1">
        <w:t xml:space="preserve"> and substitute the competition kinetics equation with the </w:t>
      </w:r>
      <w:r w:rsidR="001173A2">
        <w:t>“</w:t>
      </w:r>
      <w:r w:rsidR="006640E1" w:rsidRPr="006640E1">
        <w:t>[</w:t>
      </w:r>
      <w:proofErr w:type="spellStart"/>
      <w:r w:rsidR="006640E1" w:rsidRPr="006640E1">
        <w:t>Pharmechanics</w:t>
      </w:r>
      <w:proofErr w:type="spellEnd"/>
      <w:r w:rsidR="006640E1" w:rsidRPr="006640E1">
        <w:t>] Kinetics of competitive binding: Competitor pre-incubation</w:t>
      </w:r>
      <w:r w:rsidR="006640E1">
        <w:t>”</w:t>
      </w:r>
      <w:r w:rsidR="007B1768">
        <w:t xml:space="preserve"> equation</w:t>
      </w:r>
      <w:r w:rsidR="001173A2">
        <w:t xml:space="preserve"> (</w:t>
      </w:r>
      <w:r w:rsidR="00297244">
        <w:t xml:space="preserve">this </w:t>
      </w:r>
      <w:r w:rsidR="007B1768">
        <w:t>is a custom</w:t>
      </w:r>
      <w:r w:rsidR="00EA537B">
        <w:t xml:space="preserve"> </w:t>
      </w:r>
      <w:r w:rsidR="007B1768">
        <w:t xml:space="preserve">equation, </w:t>
      </w:r>
      <w:r w:rsidR="001173A2">
        <w:t xml:space="preserve">available from the </w:t>
      </w:r>
      <w:r w:rsidR="000E5228">
        <w:t xml:space="preserve"> supplementary file </w:t>
      </w:r>
      <w:r w:rsidR="00EA537B">
        <w:t>“</w:t>
      </w:r>
      <w:hyperlink r:id="rId24" w:history="1">
        <w:r w:rsidR="00FC567F" w:rsidRPr="000E5228">
          <w:rPr>
            <w:rStyle w:val="Hyperlink"/>
          </w:rPr>
          <w:t>Custom equations for binding kinetics</w:t>
        </w:r>
      </w:hyperlink>
      <w:r w:rsidR="001173A2">
        <w:t>”</w:t>
      </w:r>
      <w:r w:rsidR="00EA537B">
        <w:t xml:space="preserve">, </w:t>
      </w:r>
      <w:r w:rsidR="001173A2">
        <w:t>loaded as described in “</w:t>
      </w:r>
      <w:hyperlink r:id="rId25" w:history="1">
        <w:r w:rsidR="001173A2" w:rsidRPr="000E5228">
          <w:rPr>
            <w:rStyle w:val="Hyperlink"/>
          </w:rPr>
          <w:t>Loading equations into Prism from a file</w:t>
        </w:r>
      </w:hyperlink>
      <w:r w:rsidR="001173A2">
        <w:t>”)</w:t>
      </w:r>
      <w:r w:rsidR="00297244">
        <w:t>.</w:t>
      </w:r>
      <w:r w:rsidR="001173A2">
        <w:t xml:space="preserve"> </w:t>
      </w:r>
      <w:r w:rsidR="0091703B">
        <w:t>The x axis values are the time points after the pre-incubation, i.e. after</w:t>
      </w:r>
      <w:r w:rsidR="001173A2">
        <w:t xml:space="preserve"> the</w:t>
      </w:r>
      <w:r w:rsidR="0091703B">
        <w:t xml:space="preserve"> tracer is added</w:t>
      </w:r>
      <w:r w:rsidR="001173A2">
        <w:t xml:space="preserve">. </w:t>
      </w:r>
      <w:r w:rsidR="0091703B">
        <w:t>The equation contain</w:t>
      </w:r>
      <w:r w:rsidR="001173A2">
        <w:t>s</w:t>
      </w:r>
      <w:r w:rsidR="0091703B">
        <w:t xml:space="preserve"> one extra variable, the pre-incubation time</w:t>
      </w:r>
      <w:r w:rsidR="00FC567F">
        <w:t xml:space="preserve"> with compound</w:t>
      </w:r>
      <w:r w:rsidR="0091703B">
        <w:t>, termed “PIT” which is in the same units as the x axis values.</w:t>
      </w:r>
    </w:p>
    <w:p w14:paraId="6C155F6D" w14:textId="7F8D1D89" w:rsidR="004C5586" w:rsidRDefault="004C5586" w:rsidP="00DB4325"/>
    <w:p w14:paraId="2EEAA11A" w14:textId="77777777" w:rsidR="00EA537B" w:rsidRDefault="00EA537B" w:rsidP="00DB4325"/>
    <w:p w14:paraId="4A813E85" w14:textId="757560B0" w:rsidR="00D65719" w:rsidRDefault="003F5A77" w:rsidP="00180634">
      <w:pPr>
        <w:pStyle w:val="Heading4"/>
        <w:rPr>
          <w:rFonts w:eastAsiaTheme="minorEastAsia"/>
        </w:rPr>
      </w:pPr>
      <w:r>
        <w:rPr>
          <w:rFonts w:eastAsiaTheme="minorEastAsia"/>
        </w:rPr>
        <w:t>Pre-incubating with T</w:t>
      </w:r>
      <w:r w:rsidR="00835A39">
        <w:rPr>
          <w:rFonts w:eastAsiaTheme="minorEastAsia"/>
        </w:rPr>
        <w:t>racer</w:t>
      </w:r>
    </w:p>
    <w:p w14:paraId="5191F2FA" w14:textId="7ABC5CB6" w:rsidR="00EA537B" w:rsidRDefault="00EA537B" w:rsidP="00EA537B">
      <w:r>
        <w:tab/>
        <w:t>An alternative way of setting up the assay is to pre-incubate target with tracer to allow target-tracer complexes to form, followed by addition of unlabeled test compound. An equation has been derived to analyze these data (</w:t>
      </w:r>
      <w:r w:rsidRPr="00BE01EC">
        <w:t xml:space="preserve">Eq. </w:t>
      </w:r>
      <w:r w:rsidR="00113A2E" w:rsidRPr="00BE01EC">
        <w:t>7</w:t>
      </w:r>
      <w:r w:rsidRPr="00BE01EC">
        <w:t xml:space="preserve">, see </w:t>
      </w:r>
      <w:hyperlink w:anchor="_Pre-incubating_with_Tracer" w:history="1">
        <w:r w:rsidR="00113A2E" w:rsidRPr="0012668D">
          <w:rPr>
            <w:rStyle w:val="Hyperlink"/>
            <w:rFonts w:eastAsiaTheme="minorEastAsia"/>
          </w:rPr>
          <w:t>Pre-incubating with Tracer</w:t>
        </w:r>
      </w:hyperlink>
      <w:r>
        <w:t>) and its application detailed in ref.</w:t>
      </w:r>
      <w:r w:rsidR="00E87AD9">
        <w:t xml:space="preserve"> (53)</w:t>
      </w:r>
      <w:r>
        <w:t xml:space="preserve">. The equation is available in the </w:t>
      </w:r>
      <w:r w:rsidR="000E5228">
        <w:t xml:space="preserve">supplementary file </w:t>
      </w:r>
      <w:r>
        <w:t>“</w:t>
      </w:r>
      <w:hyperlink r:id="rId26" w:history="1">
        <w:r w:rsidRPr="000E5228">
          <w:rPr>
            <w:rStyle w:val="Hyperlink"/>
          </w:rPr>
          <w:t>Custom equations for binding kinetics</w:t>
        </w:r>
      </w:hyperlink>
      <w:r>
        <w:t>”, where it is named “</w:t>
      </w:r>
      <w:r w:rsidRPr="00EA537B">
        <w:t>[</w:t>
      </w:r>
      <w:proofErr w:type="spellStart"/>
      <w:r w:rsidRPr="00EA537B">
        <w:t>Pharmechanics</w:t>
      </w:r>
      <w:proofErr w:type="spellEnd"/>
      <w:r w:rsidRPr="00EA537B">
        <w:t>] Kinetics of competitive binding: Labeled ligand pre-incubation</w:t>
      </w:r>
      <w:r>
        <w:t>.”</w:t>
      </w:r>
    </w:p>
    <w:p w14:paraId="4D20589A" w14:textId="6CF3FA2A" w:rsidR="00EA537B" w:rsidRDefault="00EA537B" w:rsidP="00EA537B"/>
    <w:p w14:paraId="66D0FE83" w14:textId="37D47951" w:rsidR="00EA537B" w:rsidRDefault="00EA537B" w:rsidP="00EA537B"/>
    <w:p w14:paraId="6D3EE00E" w14:textId="20266BCE" w:rsidR="00EA537B" w:rsidRDefault="00EA537B" w:rsidP="00EA537B"/>
    <w:p w14:paraId="7D0274E8" w14:textId="77777777" w:rsidR="00EA537B" w:rsidRPr="00EA537B" w:rsidRDefault="00EA537B" w:rsidP="00EA537B"/>
    <w:p w14:paraId="6903B1E0" w14:textId="3917FD2A" w:rsidR="009B250A" w:rsidRDefault="006B589F" w:rsidP="00180634">
      <w:pPr>
        <w:pStyle w:val="Heading2"/>
      </w:pPr>
      <w:bookmarkStart w:id="18" w:name="_Compound_Washout_Method"/>
      <w:bookmarkEnd w:id="18"/>
      <w:r>
        <w:lastRenderedPageBreak/>
        <w:t>C</w:t>
      </w:r>
      <w:r w:rsidR="009B250A">
        <w:t xml:space="preserve">ompound </w:t>
      </w:r>
      <w:r w:rsidR="003F5A77">
        <w:t>Washout M</w:t>
      </w:r>
      <w:r w:rsidR="009B250A">
        <w:t>ethod</w:t>
      </w:r>
    </w:p>
    <w:p w14:paraId="1541DE39" w14:textId="1AF6E8E8" w:rsidR="00D76B0A" w:rsidRDefault="00D76B0A" w:rsidP="00D76B0A"/>
    <w:p w14:paraId="0D51C89A" w14:textId="08CA21EC" w:rsidR="00D76B0A" w:rsidRPr="00D76B0A" w:rsidRDefault="00D76B0A" w:rsidP="00180634">
      <w:pPr>
        <w:pStyle w:val="Heading3"/>
      </w:pPr>
      <w:r>
        <w:t>Introduction</w:t>
      </w:r>
    </w:p>
    <w:p w14:paraId="58DAE075" w14:textId="273DB9E4" w:rsidR="00A3442B" w:rsidRDefault="00372A4A" w:rsidP="00372A4A">
      <w:r>
        <w:tab/>
      </w:r>
      <w:r w:rsidR="007075A0">
        <w:t xml:space="preserve">A popular method for measuring unlabeled compound </w:t>
      </w:r>
      <w:r w:rsidR="0080081D">
        <w:t>RT</w:t>
      </w:r>
      <w:r w:rsidR="007075A0">
        <w:t xml:space="preserve"> is the washout method, frequently employed for kinase enzyme targets</w:t>
      </w:r>
      <w:r w:rsidR="000454AE">
        <w:t>.</w:t>
      </w:r>
      <w:r w:rsidR="00345825">
        <w:t xml:space="preserve"> </w:t>
      </w:r>
      <w:r w:rsidR="007075A0">
        <w:t>A detailed description of th</w:t>
      </w:r>
      <w:r w:rsidR="00EF3E6C">
        <w:t>e experimental</w:t>
      </w:r>
      <w:r w:rsidR="007075A0">
        <w:t xml:space="preserve"> method is provided in ref.</w:t>
      </w:r>
      <w:r w:rsidR="00E87AD9">
        <w:t xml:space="preserve"> (55)</w:t>
      </w:r>
      <w:r w:rsidR="000454AE">
        <w:t xml:space="preserve"> </w:t>
      </w:r>
      <w:r w:rsidR="00EF3E6C">
        <w:t>and</w:t>
      </w:r>
      <w:r w:rsidR="000454AE">
        <w:t xml:space="preserve"> the procedure is shown in </w:t>
      </w:r>
      <w:r w:rsidR="00900795">
        <w:t>Figure</w:t>
      </w:r>
      <w:r w:rsidR="000454AE">
        <w:t xml:space="preserve"> 1</w:t>
      </w:r>
      <w:r w:rsidR="00574DE1">
        <w:t>1</w:t>
      </w:r>
      <w:r w:rsidR="000454AE">
        <w:t>.</w:t>
      </w:r>
      <w:r w:rsidR="007075A0">
        <w:t xml:space="preserve"> The target and the unlabeled test compound are incubated together to form the target-compound complex</w:t>
      </w:r>
      <w:r w:rsidR="000D1DBB">
        <w:t>, in a pre-incubation step</w:t>
      </w:r>
      <w:r w:rsidR="00D76B0A">
        <w:t xml:space="preserve">. </w:t>
      </w:r>
      <w:r w:rsidR="007075A0">
        <w:t>Next, a wash step is performed to remove the free (unbound) test compound from the assay.</w:t>
      </w:r>
      <w:r w:rsidR="00A3442B">
        <w:t xml:space="preserve"> </w:t>
      </w:r>
      <w:r w:rsidR="003B005A">
        <w:t>At the end of the wash step, there is compound bound to the target and, ideally, no unbound compound.</w:t>
      </w:r>
      <w:r w:rsidR="007075A0">
        <w:t xml:space="preserve"> Immediately following th</w:t>
      </w:r>
      <w:r w:rsidR="003B005A">
        <w:t>e wash step</w:t>
      </w:r>
      <w:r w:rsidR="007075A0">
        <w:t>, tracer ligand is added and the tracer binding to the target</w:t>
      </w:r>
      <w:r w:rsidR="00EB0C53">
        <w:t xml:space="preserve"> is</w:t>
      </w:r>
      <w:r w:rsidR="007075A0">
        <w:t xml:space="preserve"> recorded</w:t>
      </w:r>
      <w:r w:rsidR="00A7796D">
        <w:t xml:space="preserve"> (</w:t>
      </w:r>
      <w:r w:rsidR="00900795">
        <w:t>Figure</w:t>
      </w:r>
      <w:r w:rsidR="00A7796D">
        <w:t xml:space="preserve"> 11)</w:t>
      </w:r>
      <w:r w:rsidR="007075A0">
        <w:t>.</w:t>
      </w:r>
      <w:r w:rsidR="00A3442B">
        <w:t xml:space="preserve"> As a control, tracer binding is measured </w:t>
      </w:r>
      <w:r w:rsidR="000454AE">
        <w:t>in a sample</w:t>
      </w:r>
      <w:r w:rsidR="00A3442B">
        <w:t xml:space="preserve"> where </w:t>
      </w:r>
      <w:r w:rsidR="003B005A">
        <w:t xml:space="preserve">vehicle instead of </w:t>
      </w:r>
      <w:r w:rsidR="00A3442B">
        <w:t xml:space="preserve">compound </w:t>
      </w:r>
      <w:r w:rsidR="00237715">
        <w:t>is</w:t>
      </w:r>
      <w:r w:rsidR="00A3442B">
        <w:t xml:space="preserve"> applied in the pre-incubation step.</w:t>
      </w:r>
    </w:p>
    <w:p w14:paraId="432407A7" w14:textId="06111867" w:rsidR="00372A4A" w:rsidRDefault="007075A0" w:rsidP="00237715">
      <w:pPr>
        <w:ind w:firstLine="720"/>
      </w:pPr>
      <w:r>
        <w:t>This assay indirectly quantifies test compound dissociation from the target, by i</w:t>
      </w:r>
      <w:r w:rsidR="00A3442B">
        <w:t>t</w:t>
      </w:r>
      <w:r>
        <w:t>s ability to inhibit tracer binding. The test compound first has to dissociate from the target before the tracer can bind and this results in a delay in the association of the tracer</w:t>
      </w:r>
      <w:r w:rsidR="00574DE1">
        <w:t xml:space="preserve"> (Fig</w:t>
      </w:r>
      <w:r w:rsidR="00A7796D">
        <w:t>s</w:t>
      </w:r>
      <w:r w:rsidR="00574DE1">
        <w:t>. 11</w:t>
      </w:r>
      <w:r w:rsidR="00A7796D">
        <w:t xml:space="preserve"> and 12</w:t>
      </w:r>
      <w:r w:rsidR="00574DE1">
        <w:t>)</w:t>
      </w:r>
      <w:r w:rsidR="00E87AD9">
        <w:t xml:space="preserve"> (56-58)</w:t>
      </w:r>
      <w:r>
        <w:t xml:space="preserve">. The extent of the delay is dependent on the dissociation rate of the test compound. If dissociation is slow, it takes a long time for the targets to become free of the compound, slowing association </w:t>
      </w:r>
      <w:r w:rsidR="00345825">
        <w:t xml:space="preserve">of the tracer </w:t>
      </w:r>
      <w:r>
        <w:t>(</w:t>
      </w:r>
      <w:r w:rsidR="00900795">
        <w:t>Figure</w:t>
      </w:r>
      <w:r>
        <w:t xml:space="preserve"> </w:t>
      </w:r>
      <w:r w:rsidR="00574DE1">
        <w:t>12</w:t>
      </w:r>
      <w:r w:rsidR="00A7796D">
        <w:t>B</w:t>
      </w:r>
      <w:r>
        <w:t>)</w:t>
      </w:r>
      <w:r w:rsidR="00345825">
        <w:t>. By contrast, if dissociation is rapid, target becomes available quickly and there is little slowing of tracer association (</w:t>
      </w:r>
      <w:r w:rsidR="00900795">
        <w:t>Figure</w:t>
      </w:r>
      <w:r w:rsidR="00345825">
        <w:t xml:space="preserve"> 1</w:t>
      </w:r>
      <w:r w:rsidR="00574DE1">
        <w:t>2</w:t>
      </w:r>
      <w:r w:rsidR="00A7796D">
        <w:t>A</w:t>
      </w:r>
      <w:r w:rsidR="00345825">
        <w:t>).</w:t>
      </w:r>
      <w:r w:rsidR="00A7796D">
        <w:t xml:space="preserve"> In the literature, the data are </w:t>
      </w:r>
      <w:r w:rsidR="003B005A">
        <w:t xml:space="preserve">usually </w:t>
      </w:r>
      <w:r w:rsidR="00A7796D">
        <w:t xml:space="preserve">evaluated qualitatively. However, an equation is available </w:t>
      </w:r>
      <w:r w:rsidR="006F0814">
        <w:t>to</w:t>
      </w:r>
      <w:r w:rsidR="00A7796D">
        <w:t xml:space="preserve"> quantitative</w:t>
      </w:r>
      <w:r w:rsidR="006F0814">
        <w:t>ly</w:t>
      </w:r>
      <w:r w:rsidR="00A7796D">
        <w:t xml:space="preserve"> analy</w:t>
      </w:r>
      <w:r w:rsidR="006F0814">
        <w:t>ze</w:t>
      </w:r>
      <w:r w:rsidR="00A7796D">
        <w:t xml:space="preserve"> the data</w:t>
      </w:r>
      <w:r w:rsidR="006F0814">
        <w:t xml:space="preserve">, to determine </w:t>
      </w:r>
      <w:r w:rsidR="00237715">
        <w:t xml:space="preserve">the </w:t>
      </w:r>
      <w:r w:rsidR="0080081D">
        <w:t>RT</w:t>
      </w:r>
      <w:r w:rsidR="003B005A">
        <w:t xml:space="preserve"> value</w:t>
      </w:r>
      <w:r w:rsidR="006F0814">
        <w:t xml:space="preserve"> of test compound</w:t>
      </w:r>
      <w:r w:rsidR="00E87AD9">
        <w:t xml:space="preserve"> (56)</w:t>
      </w:r>
      <w:r w:rsidR="00237715">
        <w:t xml:space="preserve"> (Eq. 8, see </w:t>
      </w:r>
      <w:hyperlink w:anchor="_Washout_Kinetics_Method" w:history="1">
        <w:r w:rsidR="00237715" w:rsidRPr="00237715">
          <w:rPr>
            <w:rStyle w:val="Hyperlink"/>
          </w:rPr>
          <w:t>Washout Kinetics Method Equation</w:t>
        </w:r>
      </w:hyperlink>
      <w:r w:rsidR="00237715">
        <w:t>)</w:t>
      </w:r>
      <w:r w:rsidR="006F0814">
        <w:t xml:space="preserve">. Applying the </w:t>
      </w:r>
      <w:r w:rsidR="00574DE1">
        <w:t xml:space="preserve">equation is </w:t>
      </w:r>
      <w:r w:rsidR="006F0814">
        <w:t>described in</w:t>
      </w:r>
      <w:r w:rsidR="00574DE1">
        <w:t xml:space="preserve"> </w:t>
      </w:r>
      <w:hyperlink w:anchor="_Data_Analysis_to" w:history="1">
        <w:r w:rsidR="00426499" w:rsidRPr="00426499">
          <w:rPr>
            <w:rStyle w:val="Hyperlink"/>
          </w:rPr>
          <w:t>Data Analysis to Quantify the Compound Residence Time</w:t>
        </w:r>
      </w:hyperlink>
      <w:r w:rsidR="00426499" w:rsidRPr="00426499">
        <w:t xml:space="preserve"> </w:t>
      </w:r>
      <w:r w:rsidR="00574DE1">
        <w:t>below</w:t>
      </w:r>
      <w:r w:rsidR="000E5228">
        <w:t xml:space="preserve"> and the supplementary f</w:t>
      </w:r>
      <w:r w:rsidR="006F0814">
        <w:t>ile, “</w:t>
      </w:r>
      <w:hyperlink r:id="rId27" w:history="1">
        <w:r w:rsidR="006F0814" w:rsidRPr="000E5228">
          <w:rPr>
            <w:rStyle w:val="Hyperlink"/>
          </w:rPr>
          <w:t>Washout method analysis</w:t>
        </w:r>
      </w:hyperlink>
      <w:r w:rsidR="006F0814">
        <w:t>”</w:t>
      </w:r>
      <w:r w:rsidR="00574DE1">
        <w:t>.</w:t>
      </w:r>
      <w:r w:rsidR="00EF3E6C">
        <w:t xml:space="preserve"> A useful</w:t>
      </w:r>
      <w:r w:rsidR="003B005A">
        <w:t>,</w:t>
      </w:r>
      <w:r w:rsidR="00EF3E6C">
        <w:t xml:space="preserve"> comprehensive application of the analysis is provided in ref</w:t>
      </w:r>
      <w:r w:rsidR="003B005A">
        <w:t>.</w:t>
      </w:r>
      <w:r w:rsidR="00E87AD9">
        <w:t xml:space="preserve"> (58)</w:t>
      </w:r>
      <w:r w:rsidR="00EF3E6C">
        <w:t>.</w:t>
      </w:r>
    </w:p>
    <w:p w14:paraId="7D1156AD" w14:textId="1D372A61" w:rsidR="00574DE1" w:rsidRDefault="00574DE1" w:rsidP="00574DE1"/>
    <w:p w14:paraId="33D43EC9" w14:textId="5BBEB5F5" w:rsidR="003B005A" w:rsidRDefault="003B005A" w:rsidP="00D76B0A"/>
    <w:p w14:paraId="3E57707D" w14:textId="3B83483F" w:rsidR="003B005A" w:rsidRDefault="003B005A" w:rsidP="00D76B0A"/>
    <w:p w14:paraId="367774C0" w14:textId="77777777" w:rsidR="003B005A" w:rsidRDefault="003B005A" w:rsidP="00D76B0A"/>
    <w:p w14:paraId="718A157E" w14:textId="15D99E7B" w:rsidR="00D76B0A" w:rsidRDefault="003F5A77" w:rsidP="00180634">
      <w:pPr>
        <w:pStyle w:val="Heading3"/>
      </w:pPr>
      <w:r>
        <w:t>Experimental C</w:t>
      </w:r>
      <w:r w:rsidR="00D76B0A">
        <w:t>onsiderations</w:t>
      </w:r>
    </w:p>
    <w:p w14:paraId="61497059" w14:textId="37CD3740" w:rsidR="00D76B0A" w:rsidRDefault="00345825" w:rsidP="00372A4A">
      <w:r>
        <w:tab/>
        <w:t>Technically, the experiment must be performed carefully for the method to provide unambiguous results on the dissociation rate of the compound. It is essential that the</w:t>
      </w:r>
      <w:r w:rsidR="007A02A2">
        <w:t xml:space="preserve"> unbound</w:t>
      </w:r>
      <w:r>
        <w:t xml:space="preserve"> compound be </w:t>
      </w:r>
      <w:r w:rsidR="007A02A2">
        <w:t xml:space="preserve">thoroughly </w:t>
      </w:r>
      <w:r>
        <w:t xml:space="preserve">removed during the wash step; any remaining compound sufficient to occupy the </w:t>
      </w:r>
      <w:r w:rsidR="00D21691">
        <w:t>target</w:t>
      </w:r>
      <w:r>
        <w:t xml:space="preserve"> will block tracer binding</w:t>
      </w:r>
      <w:r w:rsidR="000D1DBB">
        <w:t xml:space="preserve"> by simple equilibrium competition</w:t>
      </w:r>
      <w:r w:rsidR="00E953BC">
        <w:t>.</w:t>
      </w:r>
      <w:r w:rsidR="00C57857">
        <w:t xml:space="preserve"> </w:t>
      </w:r>
      <w:r w:rsidR="00766142">
        <w:t>Note s</w:t>
      </w:r>
      <w:r w:rsidR="00C57857">
        <w:t xml:space="preserve">ome free compound molecules will be in the well during the tracer incubation owing to breakdown of the target-compound complex. This concentration will be too </w:t>
      </w:r>
      <w:r w:rsidR="00DA2B7E">
        <w:t>lo</w:t>
      </w:r>
      <w:r w:rsidR="00C57857">
        <w:t xml:space="preserve">w to significantly occupy the target if Zone A (minimal </w:t>
      </w:r>
      <w:r w:rsidR="00C57857">
        <w:lastRenderedPageBreak/>
        <w:t xml:space="preserve">compound depletion by target) is satisfied. </w:t>
      </w:r>
      <w:r w:rsidR="00971B48">
        <w:t xml:space="preserve">If there is </w:t>
      </w:r>
      <w:r w:rsidR="003B005A">
        <w:t>sufficient</w:t>
      </w:r>
      <w:r w:rsidR="00971B48">
        <w:t xml:space="preserve"> free compound</w:t>
      </w:r>
      <w:r w:rsidR="00E953BC">
        <w:t xml:space="preserve"> </w:t>
      </w:r>
      <w:r w:rsidR="003B005A">
        <w:t xml:space="preserve">remaining </w:t>
      </w:r>
      <w:r w:rsidR="006F0814">
        <w:t xml:space="preserve">in the tracer incubation step </w:t>
      </w:r>
      <w:r w:rsidR="00D21691">
        <w:rPr>
          <w:rFonts w:ascii="Segoe UI" w:hAnsi="Segoe UI" w:cs="Segoe UI"/>
          <w:color w:val="000000"/>
          <w:sz w:val="20"/>
          <w:szCs w:val="20"/>
        </w:rPr>
        <w:t>owing to incomplete washout,</w:t>
      </w:r>
      <w:r w:rsidR="00D21691">
        <w:t xml:space="preserve"> </w:t>
      </w:r>
      <w:r w:rsidR="00971B48">
        <w:t xml:space="preserve">it </w:t>
      </w:r>
      <w:r w:rsidR="00E953BC">
        <w:t>will slow association of the tracer</w:t>
      </w:r>
      <w:r w:rsidR="00E87AD9">
        <w:t xml:space="preserve"> (59)</w:t>
      </w:r>
      <w:r w:rsidR="00D21691">
        <w:rPr>
          <w:rFonts w:ascii="Segoe UI" w:hAnsi="Segoe UI" w:cs="Segoe UI"/>
          <w:color w:val="000000"/>
          <w:sz w:val="20"/>
          <w:szCs w:val="20"/>
        </w:rPr>
        <w:t>. This can give</w:t>
      </w:r>
      <w:r w:rsidR="000D1DBB">
        <w:t xml:space="preserve"> </w:t>
      </w:r>
      <w:r w:rsidR="00E953BC">
        <w:t>the false appearance of a long RT compound</w:t>
      </w:r>
      <w:r w:rsidR="00D76B0A">
        <w:t xml:space="preserve"> (</w:t>
      </w:r>
      <w:r w:rsidR="00900795">
        <w:t>Figure</w:t>
      </w:r>
      <w:r w:rsidR="00D76B0A">
        <w:t xml:space="preserve"> 1</w:t>
      </w:r>
      <w:r w:rsidR="00574DE1">
        <w:t>3</w:t>
      </w:r>
      <w:r w:rsidR="00D76B0A">
        <w:t>)</w:t>
      </w:r>
      <w:r w:rsidR="000D1DBB">
        <w:t>.</w:t>
      </w:r>
      <w:r>
        <w:t xml:space="preserve"> </w:t>
      </w:r>
      <w:r w:rsidR="000D1DBB">
        <w:t>This requires t</w:t>
      </w:r>
      <w:r>
        <w:t>he washout method to be carefully considered, particularly for drug-like small molecules which tend to be hydrophobic and difficult to remove, especially from cells</w:t>
      </w:r>
      <w:r w:rsidR="00766142">
        <w:t xml:space="preserve"> </w:t>
      </w:r>
      <w:r w:rsidR="00E87AD9">
        <w:t>(59)</w:t>
      </w:r>
      <w:r>
        <w:t xml:space="preserve">. If possible, a sample of the assay medium after washing should be removed and the presence of any remaining compound </w:t>
      </w:r>
      <w:r w:rsidR="00D76B0A">
        <w:t>evaluated</w:t>
      </w:r>
      <w:r>
        <w:t xml:space="preserve"> by </w:t>
      </w:r>
      <w:r w:rsidR="00D76B0A">
        <w:t>testing</w:t>
      </w:r>
      <w:r>
        <w:t xml:space="preserve"> the </w:t>
      </w:r>
      <w:r w:rsidR="00D76B0A">
        <w:t>medium</w:t>
      </w:r>
      <w:r>
        <w:t xml:space="preserve"> in a binding assay. </w:t>
      </w:r>
      <w:r w:rsidR="000D1DBB">
        <w:t>Another check is the shape of the tracer binding curve – if test compound has been effectively removed, the curve will eventually reach the same level of binding as the control</w:t>
      </w:r>
      <w:r w:rsidR="006F0814">
        <w:t xml:space="preserve"> (no compound in pre-incubation), assuming compound dissociation is not too slow.</w:t>
      </w:r>
      <w:r w:rsidR="000D1DBB">
        <w:t xml:space="preserve"> If significant compound remains after the wash step, the curve will plateau below the no-compound control, as a result of equilibrium competition between residual compound and the tracer</w:t>
      </w:r>
      <w:r w:rsidR="00DB4325">
        <w:t xml:space="preserve"> (</w:t>
      </w:r>
      <w:r w:rsidR="00900795">
        <w:t>Figure</w:t>
      </w:r>
      <w:r w:rsidR="00DB4325">
        <w:t xml:space="preserve"> 1</w:t>
      </w:r>
      <w:r w:rsidR="00574DE1">
        <w:t>3</w:t>
      </w:r>
      <w:r w:rsidR="00DB4325">
        <w:t>)</w:t>
      </w:r>
      <w:r w:rsidR="00766142">
        <w:t xml:space="preserve"> </w:t>
      </w:r>
      <w:r w:rsidR="00E87AD9">
        <w:t>(59)</w:t>
      </w:r>
      <w:r w:rsidR="000D1DBB">
        <w:t>.</w:t>
      </w:r>
    </w:p>
    <w:p w14:paraId="38D51C31" w14:textId="2D85E1DB" w:rsidR="00345825" w:rsidRDefault="00D76B0A" w:rsidP="00D76B0A">
      <w:pPr>
        <w:ind w:firstLine="720"/>
      </w:pPr>
      <w:r>
        <w:t xml:space="preserve">In the pre-incubation step, </w:t>
      </w:r>
      <w:r w:rsidR="000D1DBB">
        <w:t xml:space="preserve">a concentration of compound sufficient to occupy no more than </w:t>
      </w:r>
      <w:r w:rsidR="006B7D16">
        <w:t>80</w:t>
      </w:r>
      <w:r w:rsidR="000D1DBB">
        <w:t>% of the targets is recommended (</w:t>
      </w:r>
      <w:r w:rsidR="006B7D16">
        <w:t>4</w:t>
      </w:r>
      <w:r w:rsidR="000D1DBB">
        <w:t xml:space="preserve">-fold the </w:t>
      </w:r>
      <w:r w:rsidR="000D1DBB" w:rsidRPr="003B005A">
        <w:rPr>
          <w:i/>
          <w:iCs/>
        </w:rPr>
        <w:t>K</w:t>
      </w:r>
      <w:r w:rsidR="000D1DBB" w:rsidRPr="003B005A">
        <w:rPr>
          <w:vertAlign w:val="subscript"/>
        </w:rPr>
        <w:t>i</w:t>
      </w:r>
      <w:r w:rsidR="000D1DBB">
        <w:t xml:space="preserve"> determined in a preliminary competition binding assay).</w:t>
      </w:r>
      <w:r>
        <w:t xml:space="preserve"> This minimizes the wash burden.</w:t>
      </w:r>
      <w:r w:rsidR="000D1DBB">
        <w:t xml:space="preserve"> If the concentration is too high, residual compound can bind the </w:t>
      </w:r>
      <w:r w:rsidR="00CA20EF">
        <w:t xml:space="preserve">target </w:t>
      </w:r>
      <w:r w:rsidR="000D1DBB">
        <w:t xml:space="preserve">in the tracer incubation. For example, if a 100-fold excess over </w:t>
      </w:r>
      <w:r w:rsidR="000D1DBB" w:rsidRPr="003B005A">
        <w:rPr>
          <w:i/>
          <w:iCs/>
        </w:rPr>
        <w:t>K</w:t>
      </w:r>
      <w:r w:rsidR="000D1DBB" w:rsidRPr="003B005A">
        <w:rPr>
          <w:vertAlign w:val="subscript"/>
        </w:rPr>
        <w:t>i</w:t>
      </w:r>
      <w:r w:rsidR="000D1DBB">
        <w:t xml:space="preserve"> concentration is used, and the wash step removes 99% of the compound, the 1% that remains will be sufficient to block 50% of the </w:t>
      </w:r>
      <w:r w:rsidR="00CA20EF">
        <w:t>targets</w:t>
      </w:r>
      <w:r w:rsidR="000D1DBB">
        <w:t xml:space="preserve">, </w:t>
      </w:r>
      <w:r w:rsidR="00E953BC">
        <w:t>resulting in false appearance of a long RT compound</w:t>
      </w:r>
      <w:r>
        <w:t xml:space="preserve"> (</w:t>
      </w:r>
      <w:r w:rsidR="00900795">
        <w:t>Figure</w:t>
      </w:r>
      <w:r>
        <w:t xml:space="preserve"> 1</w:t>
      </w:r>
      <w:r w:rsidR="003B005A">
        <w:t>3</w:t>
      </w:r>
      <w:r>
        <w:t>).</w:t>
      </w:r>
    </w:p>
    <w:p w14:paraId="0BA2A2A7" w14:textId="79468AED" w:rsidR="00D76B0A" w:rsidRDefault="00D76B0A" w:rsidP="00D76B0A"/>
    <w:p w14:paraId="224C9106" w14:textId="045E1208" w:rsidR="00D76B0A" w:rsidRDefault="00426499" w:rsidP="00180634">
      <w:pPr>
        <w:pStyle w:val="Heading3"/>
      </w:pPr>
      <w:bookmarkStart w:id="19" w:name="_Data_Analysis_to"/>
      <w:bookmarkEnd w:id="19"/>
      <w:r>
        <w:t>Data Analysis t</w:t>
      </w:r>
      <w:r w:rsidR="003F5A77" w:rsidRPr="003F5A77">
        <w:t>o Quantify the Compound Residence Time</w:t>
      </w:r>
    </w:p>
    <w:p w14:paraId="3C3F0AD6" w14:textId="3375C394" w:rsidR="004D7F08" w:rsidRDefault="0003232A" w:rsidP="004D7F08">
      <w:pPr>
        <w:ind w:firstLine="576"/>
      </w:pPr>
      <w:r>
        <w:t>Measuring the dissociation rate constant of the test compound (</w:t>
      </w:r>
      <w:r w:rsidR="00431CB2" w:rsidRPr="00431CB2">
        <w:rPr>
          <w:i/>
          <w:iCs/>
        </w:rPr>
        <w:t>k</w:t>
      </w:r>
      <w:r w:rsidR="00431CB2" w:rsidRPr="00431CB2">
        <w:rPr>
          <w:vertAlign w:val="subscript"/>
        </w:rPr>
        <w:t>4</w:t>
      </w:r>
      <w:r>
        <w:t>) is the goal of the analysis.</w:t>
      </w:r>
      <w:r w:rsidR="004D7F08">
        <w:t xml:space="preserve"> A step-by-step guide is </w:t>
      </w:r>
      <w:r w:rsidR="000E5228">
        <w:t>provided in the supplementary f</w:t>
      </w:r>
      <w:r w:rsidR="004D7F08">
        <w:t>ile, “</w:t>
      </w:r>
      <w:hyperlink r:id="rId28" w:history="1">
        <w:r w:rsidR="004D7F08" w:rsidRPr="000E5228">
          <w:rPr>
            <w:rStyle w:val="Hyperlink"/>
          </w:rPr>
          <w:t>Washout method analysis</w:t>
        </w:r>
      </w:hyperlink>
      <w:r w:rsidR="004D7F08">
        <w:t>.” The data type is specific binding, i.e. data from which nonspecific binding has been subtracted (</w:t>
      </w:r>
      <w:hyperlink w:anchor="_Data_Analysis" w:history="1">
        <w:r w:rsidR="00426499" w:rsidRPr="00426499">
          <w:rPr>
            <w:rStyle w:val="Hyperlink"/>
          </w:rPr>
          <w:t>Data Analysis</w:t>
        </w:r>
      </w:hyperlink>
      <w:r w:rsidR="004D7F08">
        <w:t xml:space="preserve"> and </w:t>
      </w:r>
      <w:r w:rsidR="00900795">
        <w:t>Figure</w:t>
      </w:r>
      <w:r w:rsidR="004D7F08">
        <w:t xml:space="preserve"> 5).</w:t>
      </w:r>
      <w:r w:rsidR="00847031">
        <w:t xml:space="preserve"> The analysis makes the same assumptions as the competition kinetics analysis (</w:t>
      </w:r>
      <w:hyperlink w:anchor="_Competition_Kinetics:_Quantifying" w:history="1">
        <w:r w:rsidR="00426499" w:rsidRPr="00426499">
          <w:rPr>
            <w:rStyle w:val="Hyperlink"/>
          </w:rPr>
          <w:t xml:space="preserve">Competition Kinetics: Quantifying Kinetics by Competition </w:t>
        </w:r>
        <w:proofErr w:type="gramStart"/>
        <w:r w:rsidR="00426499" w:rsidRPr="00426499">
          <w:rPr>
            <w:rStyle w:val="Hyperlink"/>
          </w:rPr>
          <w:t>Against</w:t>
        </w:r>
        <w:proofErr w:type="gramEnd"/>
        <w:r w:rsidR="00426499" w:rsidRPr="00426499">
          <w:rPr>
            <w:rStyle w:val="Hyperlink"/>
          </w:rPr>
          <w:t xml:space="preserve"> a Tracer Ligand</w:t>
        </w:r>
      </w:hyperlink>
      <w:r w:rsidR="00847031">
        <w:t>) – single-site, single-step, competitive binding mechanism with minimal ligand depletion (&lt;20%).</w:t>
      </w:r>
    </w:p>
    <w:p w14:paraId="0D38DCD8" w14:textId="09C5BC0F" w:rsidR="0020492E" w:rsidRDefault="004D7F08" w:rsidP="004D7F08">
      <w:pPr>
        <w:ind w:firstLine="576"/>
      </w:pPr>
      <w:r>
        <w:t xml:space="preserve">There are two steps in the analysis. First, the control data are analyzed to obtain </w:t>
      </w:r>
      <w:r w:rsidR="00431CB2" w:rsidRPr="001503F1">
        <w:rPr>
          <w:i/>
          <w:iCs/>
        </w:rPr>
        <w:t>k</w:t>
      </w:r>
      <w:r w:rsidR="00431CB2" w:rsidRPr="001503F1">
        <w:rPr>
          <w:vertAlign w:val="subscript"/>
        </w:rPr>
        <w:t>1</w:t>
      </w:r>
      <w:r>
        <w:t xml:space="preserve"> for the tracer (control being the sample without compound in the pre-incubation). The data are fit to Eq. </w:t>
      </w:r>
      <w:r w:rsidR="003B005A">
        <w:t>3</w:t>
      </w:r>
      <w:r>
        <w:t xml:space="preserve"> as described in </w:t>
      </w:r>
      <w:hyperlink w:anchor="_Data_Analysis" w:history="1">
        <w:r w:rsidR="00426499" w:rsidRPr="00426499">
          <w:rPr>
            <w:rStyle w:val="Hyperlink"/>
          </w:rPr>
          <w:t>Data Analysis</w:t>
        </w:r>
      </w:hyperlink>
      <w:r>
        <w:t>, which can be done in Prism using the equation “</w:t>
      </w:r>
      <w:r w:rsidRPr="00AB18E2">
        <w:t>Association kinetics - One conc. of hot</w:t>
      </w:r>
      <w:r>
        <w:t xml:space="preserve">.” </w:t>
      </w:r>
      <w:r w:rsidR="00E87AD9">
        <w:t>(47)</w:t>
      </w:r>
      <w:r>
        <w:t xml:space="preserve"> Note the analysis requires </w:t>
      </w:r>
      <w:proofErr w:type="gramStart"/>
      <w:r w:rsidR="006B589F">
        <w:rPr>
          <w:i/>
          <w:iCs/>
        </w:rPr>
        <w:t>k</w:t>
      </w:r>
      <w:r w:rsidR="006B589F" w:rsidRPr="006B589F">
        <w:rPr>
          <w:vertAlign w:val="subscript"/>
        </w:rPr>
        <w:t>2</w:t>
      </w:r>
      <w:proofErr w:type="gramEnd"/>
      <w:r>
        <w:t xml:space="preserve"> of the tracer to be known (tracer dissociation rate constant) – this is measured in a separate experimen</w:t>
      </w:r>
      <w:r w:rsidR="0020492E">
        <w:t>t.</w:t>
      </w:r>
    </w:p>
    <w:p w14:paraId="4B615945" w14:textId="7B276216" w:rsidR="0020492E" w:rsidRDefault="004D7F08" w:rsidP="004D7F08">
      <w:pPr>
        <w:ind w:firstLine="576"/>
      </w:pPr>
      <w:r>
        <w:t xml:space="preserve">With </w:t>
      </w:r>
      <w:r w:rsidR="00B96ED1">
        <w:t xml:space="preserve">the </w:t>
      </w:r>
      <w:r w:rsidR="00431CB2" w:rsidRPr="001503F1">
        <w:rPr>
          <w:i/>
          <w:iCs/>
        </w:rPr>
        <w:t>k</w:t>
      </w:r>
      <w:r w:rsidR="00431CB2" w:rsidRPr="001503F1">
        <w:rPr>
          <w:vertAlign w:val="subscript"/>
        </w:rPr>
        <w:t>1</w:t>
      </w:r>
      <w:r w:rsidR="00B96ED1">
        <w:t xml:space="preserve"> value</w:t>
      </w:r>
      <w:r>
        <w:t xml:space="preserve"> in hand, the compound data can be analyzed to determine </w:t>
      </w:r>
      <w:r w:rsidR="00431CB2" w:rsidRPr="00431CB2">
        <w:rPr>
          <w:i/>
          <w:iCs/>
        </w:rPr>
        <w:t>k</w:t>
      </w:r>
      <w:r w:rsidR="00431CB2" w:rsidRPr="00431CB2">
        <w:rPr>
          <w:vertAlign w:val="subscript"/>
        </w:rPr>
        <w:t>4</w:t>
      </w:r>
      <w:r w:rsidR="000E5228">
        <w:t>, as detailed in the supplementary f</w:t>
      </w:r>
      <w:r>
        <w:t>ile, “</w:t>
      </w:r>
      <w:hyperlink r:id="rId29" w:history="1">
        <w:r w:rsidRPr="000E5228">
          <w:rPr>
            <w:rStyle w:val="Hyperlink"/>
          </w:rPr>
          <w:t>Washout method analysis</w:t>
        </w:r>
      </w:hyperlink>
      <w:r>
        <w:t>”</w:t>
      </w:r>
      <w:r w:rsidR="00824CC7">
        <w:t xml:space="preserve"> employing Eq. </w:t>
      </w:r>
      <w:r w:rsidR="003B005A">
        <w:t>8</w:t>
      </w:r>
      <w:r w:rsidR="00824CC7">
        <w:t xml:space="preserve"> (</w:t>
      </w:r>
      <w:hyperlink w:anchor="_Washout_Kinetics_Method" w:history="1">
        <w:r w:rsidR="00352772" w:rsidRPr="00352772">
          <w:rPr>
            <w:rStyle w:val="Hyperlink"/>
          </w:rPr>
          <w:t>Washout Kinetics Method Equation</w:t>
        </w:r>
      </w:hyperlink>
      <w:r w:rsidR="00824CC7">
        <w:t>).</w:t>
      </w:r>
      <w:r w:rsidR="00B96ED1">
        <w:t xml:space="preserve"> </w:t>
      </w:r>
      <w:r w:rsidR="00824CC7">
        <w:t xml:space="preserve">The analysis provides fitted values of </w:t>
      </w:r>
      <w:r w:rsidR="00431CB2" w:rsidRPr="00431CB2">
        <w:rPr>
          <w:i/>
          <w:iCs/>
        </w:rPr>
        <w:t>k</w:t>
      </w:r>
      <w:r w:rsidR="00431CB2" w:rsidRPr="00431CB2">
        <w:rPr>
          <w:vertAlign w:val="subscript"/>
        </w:rPr>
        <w:t>4</w:t>
      </w:r>
      <w:r w:rsidR="00847031">
        <w:t>;</w:t>
      </w:r>
      <w:r w:rsidR="00AB62AF">
        <w:t xml:space="preserve"> B</w:t>
      </w:r>
      <w:r w:rsidR="00AB62AF">
        <w:rPr>
          <w:vertAlign w:val="subscript"/>
        </w:rPr>
        <w:t>0</w:t>
      </w:r>
      <w:r w:rsidR="00847031">
        <w:t xml:space="preserve"> (the percentage of </w:t>
      </w:r>
      <w:r w:rsidR="00710010">
        <w:t>target</w:t>
      </w:r>
      <w:r w:rsidR="00847031">
        <w:t xml:space="preserve">s occupied by compound at the end of the pre-incubation phase); and </w:t>
      </w:r>
      <w:proofErr w:type="spellStart"/>
      <w:r w:rsidR="00AB62AF">
        <w:t>B</w:t>
      </w:r>
      <w:r w:rsidR="00AB62AF" w:rsidRPr="00AB62AF">
        <w:rPr>
          <w:vertAlign w:val="subscript"/>
        </w:rPr>
        <w:t>max</w:t>
      </w:r>
      <w:proofErr w:type="spellEnd"/>
      <w:r w:rsidR="00847031">
        <w:rPr>
          <w:iCs/>
        </w:rPr>
        <w:t xml:space="preserve"> (the total number of ligand binding sites)</w:t>
      </w:r>
      <w:r w:rsidR="00847031">
        <w:t>.</w:t>
      </w:r>
    </w:p>
    <w:p w14:paraId="7B028F2C" w14:textId="7C19D53E" w:rsidR="004D7F08" w:rsidRDefault="00900795" w:rsidP="004D7F08">
      <w:pPr>
        <w:ind w:firstLine="576"/>
      </w:pPr>
      <w:r>
        <w:t>Figure</w:t>
      </w:r>
      <w:r w:rsidR="00B96ED1">
        <w:t xml:space="preserve"> 12 shows representative graphs for compounds with varying </w:t>
      </w:r>
      <w:r w:rsidR="0080081D">
        <w:t>RT</w:t>
      </w:r>
      <w:r w:rsidR="00847031">
        <w:t xml:space="preserve">s (i.e. </w:t>
      </w:r>
      <w:r w:rsidR="00431CB2" w:rsidRPr="00431CB2">
        <w:rPr>
          <w:i/>
          <w:iCs/>
        </w:rPr>
        <w:t>k</w:t>
      </w:r>
      <w:r w:rsidR="00431CB2" w:rsidRPr="00431CB2">
        <w:rPr>
          <w:vertAlign w:val="subscript"/>
        </w:rPr>
        <w:t>4</w:t>
      </w:r>
      <w:r w:rsidR="00847031">
        <w:t xml:space="preserve"> values)</w:t>
      </w:r>
      <w:r w:rsidR="0020492E">
        <w:t>, from 6 min to 36 hr. The shape and position of the curve makes intuitive sense. For the shortest RT (6 min), the compound curve is only slightly delayed compared with the control curve</w:t>
      </w:r>
      <w:r w:rsidR="00AB62AF">
        <w:t>;</w:t>
      </w:r>
      <w:r w:rsidR="0020492E">
        <w:t xml:space="preserve"> there is minimal delay of tracer binding because the compound dissociates so rapidly, leaving </w:t>
      </w:r>
      <w:r w:rsidR="00710010">
        <w:t>target</w:t>
      </w:r>
      <w:r w:rsidR="0020492E">
        <w:t xml:space="preserve"> free to bind tracer</w:t>
      </w:r>
      <w:r w:rsidR="00B7647F">
        <w:t xml:space="preserve"> (</w:t>
      </w:r>
      <w:r>
        <w:t>Figure</w:t>
      </w:r>
      <w:r w:rsidR="00B7647F">
        <w:t xml:space="preserve"> </w:t>
      </w:r>
      <w:r w:rsidR="00B7647F">
        <w:lastRenderedPageBreak/>
        <w:t>12A)</w:t>
      </w:r>
      <w:r w:rsidR="0020492E">
        <w:t>. At later time points, the plateau for the compound curve reaches the same level as the control. This is because</w:t>
      </w:r>
      <w:r w:rsidR="00AB62AF">
        <w:t>,</w:t>
      </w:r>
      <w:r w:rsidR="0020492E">
        <w:t xml:space="preserve"> given enough time</w:t>
      </w:r>
      <w:r w:rsidR="00AB62AF">
        <w:t>,</w:t>
      </w:r>
      <w:r w:rsidR="0020492E">
        <w:t xml:space="preserve"> all of the compound-target complexes break down, leaving all of the </w:t>
      </w:r>
      <w:r w:rsidR="00710010">
        <w:t>target</w:t>
      </w:r>
      <w:r w:rsidR="0020492E">
        <w:t xml:space="preserve">s free to bind tracer. Note this argument assumes the concentration of free compound in the tracer incubation is too low to significantly occupy the </w:t>
      </w:r>
      <w:r w:rsidR="00710010">
        <w:t>tracer</w:t>
      </w:r>
      <w:r w:rsidR="0020492E">
        <w:t xml:space="preserve"> – see below for what happens when this is not the case.  For a 60 min RT compound</w:t>
      </w:r>
      <w:r w:rsidR="00B7647F">
        <w:t xml:space="preserve"> (Fig 12B)</w:t>
      </w:r>
      <w:r w:rsidR="0020492E">
        <w:t xml:space="preserve">, there is a marked delay in tracer association, which is predicted because it takes time for the </w:t>
      </w:r>
      <w:r w:rsidR="00710010">
        <w:t>target</w:t>
      </w:r>
      <w:r w:rsidR="0020492E">
        <w:t xml:space="preserve"> to become available owing to the slow dissociation of the compound.  When the </w:t>
      </w:r>
      <w:r w:rsidR="0080081D">
        <w:t>RT</w:t>
      </w:r>
      <w:r w:rsidR="0020492E">
        <w:t xml:space="preserve"> is long (3 </w:t>
      </w:r>
      <w:proofErr w:type="spellStart"/>
      <w:r w:rsidR="0020492E">
        <w:t>hr</w:t>
      </w:r>
      <w:proofErr w:type="spellEnd"/>
      <w:r w:rsidR="0020492E">
        <w:t xml:space="preserve">), </w:t>
      </w:r>
      <w:r w:rsidR="001E451D">
        <w:t>the curve is markedly biphasic</w:t>
      </w:r>
      <w:r w:rsidR="00B7647F">
        <w:t xml:space="preserve"> (Fig 12C)</w:t>
      </w:r>
      <w:r w:rsidR="001E451D">
        <w:t xml:space="preserve">. There is a small rapid </w:t>
      </w:r>
      <w:r w:rsidR="00971B48">
        <w:t>burst</w:t>
      </w:r>
      <w:r w:rsidR="001E451D">
        <w:t xml:space="preserve"> of tracer binding at the start, and a slower rise phase. The rapid phase represents tracer binding to the free </w:t>
      </w:r>
      <w:r w:rsidR="009322C9">
        <w:t>target</w:t>
      </w:r>
      <w:r w:rsidR="001E451D">
        <w:t xml:space="preserve">s; the experiment is set up so that 80% of targets are bound by compound, leaving 20% unoccupied and so immediately available to bind tracer. The slower rise phase represents tracer binding to </w:t>
      </w:r>
      <w:r w:rsidR="0045544B">
        <w:t xml:space="preserve">targets </w:t>
      </w:r>
      <w:r w:rsidR="001E451D">
        <w:t xml:space="preserve">that become available once the compound has dissociated from the target. </w:t>
      </w:r>
      <w:r w:rsidR="00AB62AF">
        <w:t>(</w:t>
      </w:r>
      <w:r w:rsidR="001E451D">
        <w:t xml:space="preserve">Note the data analysis can give ambiguous results when the top of the curve is not </w:t>
      </w:r>
      <w:r w:rsidR="00AB62AF">
        <w:t>reached over the</w:t>
      </w:r>
      <w:r w:rsidR="001E451D">
        <w:t xml:space="preserve"> timeframe of the assay. This issue can be solved by fixing the </w:t>
      </w:r>
      <w:proofErr w:type="spellStart"/>
      <w:r w:rsidR="00AB62AF">
        <w:t>B</w:t>
      </w:r>
      <w:r w:rsidR="00AB62AF" w:rsidRPr="00AB62AF">
        <w:rPr>
          <w:vertAlign w:val="subscript"/>
        </w:rPr>
        <w:t>max</w:t>
      </w:r>
      <w:proofErr w:type="spellEnd"/>
      <w:r w:rsidR="001E451D">
        <w:t xml:space="preserve"> value for the compound curve to that of the control</w:t>
      </w:r>
      <w:r w:rsidR="00AB62AF">
        <w:t>)</w:t>
      </w:r>
      <w:r w:rsidR="001E451D">
        <w:t>. When the RT is very long, re</w:t>
      </w:r>
      <w:r w:rsidR="00AB62AF">
        <w:t>lative</w:t>
      </w:r>
      <w:r w:rsidR="001E451D">
        <w:t xml:space="preserve"> to the timeframe of the assay (36 </w:t>
      </w:r>
      <w:proofErr w:type="spellStart"/>
      <w:r w:rsidR="001E451D">
        <w:t>hr</w:t>
      </w:r>
      <w:proofErr w:type="spellEnd"/>
      <w:r w:rsidR="001E451D">
        <w:t xml:space="preserve"> vs 3 </w:t>
      </w:r>
      <w:proofErr w:type="spellStart"/>
      <w:r w:rsidR="001E451D">
        <w:t>hr</w:t>
      </w:r>
      <w:proofErr w:type="spellEnd"/>
      <w:r w:rsidR="001E451D">
        <w:t xml:space="preserve">), a </w:t>
      </w:r>
      <w:r w:rsidR="00971B48">
        <w:t>near-</w:t>
      </w:r>
      <w:r w:rsidR="001E451D">
        <w:t>monophasic curve results, in which binding plateaus well below the control</w:t>
      </w:r>
      <w:r w:rsidR="00B7647F">
        <w:t xml:space="preserve"> (Fig 12D)</w:t>
      </w:r>
      <w:r w:rsidR="001E451D">
        <w:t xml:space="preserve">. </w:t>
      </w:r>
      <w:r w:rsidR="00A7796D">
        <w:t xml:space="preserve">In this case, the binding signal is effectively tracer binding only to the targets which were free at the end of the pre-incubation. Very few new targets become available because compound dissociation is </w:t>
      </w:r>
      <w:r w:rsidR="00AB62AF">
        <w:t>so</w:t>
      </w:r>
      <w:r w:rsidR="00A7796D">
        <w:t xml:space="preserve"> slow</w:t>
      </w:r>
      <w:r w:rsidR="00971B48">
        <w:t>.</w:t>
      </w:r>
    </w:p>
    <w:p w14:paraId="301EDE00" w14:textId="4CD15397" w:rsidR="00572D38" w:rsidRDefault="00572D38" w:rsidP="004D7F08">
      <w:pPr>
        <w:ind w:firstLine="576"/>
      </w:pPr>
      <w:r>
        <w:t xml:space="preserve">The association rate constant of test compound can be determined if multiple concentrations of test compound are run. An experiment of this type will return fitted values of the </w:t>
      </w:r>
      <w:r w:rsidR="00B92DD5">
        <w:t>percentage</w:t>
      </w:r>
      <w:r>
        <w:t xml:space="preserve"> of target population bound</w:t>
      </w:r>
      <w:r w:rsidR="00B92DD5">
        <w:t xml:space="preserve">, </w:t>
      </w:r>
      <w:bookmarkStart w:id="20" w:name="OLE_LINK20"/>
      <w:r w:rsidR="00AB62AF">
        <w:t>B</w:t>
      </w:r>
      <w:r w:rsidR="00AB62AF">
        <w:rPr>
          <w:vertAlign w:val="subscript"/>
        </w:rPr>
        <w:t>0</w:t>
      </w:r>
      <w:bookmarkEnd w:id="20"/>
      <w:r w:rsidR="00B92DD5">
        <w:t>,</w:t>
      </w:r>
      <w:r>
        <w:t xml:space="preserve"> for each concentration of test compound</w:t>
      </w:r>
      <w:r w:rsidR="00B92DD5">
        <w:t>,</w:t>
      </w:r>
      <w:r w:rsidR="00AB62AF">
        <w:t xml:space="preserve"> [I]</w:t>
      </w:r>
      <w:r>
        <w:t>.</w:t>
      </w:r>
      <w:r w:rsidR="00B92DD5">
        <w:t xml:space="preserve"> </w:t>
      </w:r>
      <w:r w:rsidR="00AB62AF">
        <w:t>B</w:t>
      </w:r>
      <w:r w:rsidR="00AB62AF">
        <w:rPr>
          <w:vertAlign w:val="subscript"/>
        </w:rPr>
        <w:t>0</w:t>
      </w:r>
      <w:r w:rsidR="00B92DD5">
        <w:t xml:space="preserve"> is plotted against</w:t>
      </w:r>
      <w:r w:rsidR="00AB62AF">
        <w:t xml:space="preserve"> [I]</w:t>
      </w:r>
      <w:r w:rsidR="00B92DD5">
        <w:t xml:space="preserve"> and the data </w:t>
      </w:r>
      <w:r w:rsidR="005A14D5">
        <w:t xml:space="preserve">are </w:t>
      </w:r>
      <w:r w:rsidR="00B92DD5">
        <w:t>fit to the following equation:</w:t>
      </w:r>
    </w:p>
    <w:p w14:paraId="671688AE" w14:textId="77777777" w:rsidR="00B92DD5" w:rsidRDefault="00B92DD5" w:rsidP="004D7F08">
      <w:pPr>
        <w:ind w:firstLine="576"/>
      </w:pPr>
    </w:p>
    <w:p w14:paraId="05D7A953" w14:textId="1307C5DF" w:rsidR="00B92DD5" w:rsidRPr="00B92DD5" w:rsidRDefault="00CF1AF2" w:rsidP="00BE01EC">
      <w:pPr>
        <w:pStyle w:val="Equation"/>
        <w:rPr>
          <w:rFonts w:cstheme="minorHAnsi"/>
        </w:rPr>
      </w:pPr>
      <m:oMathPara>
        <m:oMath>
          <m:sSub>
            <m:sSubPr>
              <m:ctrlPr>
                <w:rPr>
                  <w:rFonts w:ascii="Cambria Math" w:hAnsi="Cambria Math"/>
                  <w:iCs/>
                </w:rPr>
              </m:ctrlPr>
            </m:sSubPr>
            <m:e>
              <m:r>
                <m:rPr>
                  <m:sty m:val="p"/>
                </m:rPr>
                <w:rPr>
                  <w:rFonts w:ascii="Cambria Math" w:hAnsi="Cambria Math"/>
                </w:rPr>
                <m:t>B</m:t>
              </m:r>
            </m:e>
            <m:sub>
              <m:r>
                <m:rPr>
                  <m:sty m:val="p"/>
                </m:rPr>
                <w:rPr>
                  <w:rFonts w:ascii="Cambria Math" w:hAnsi="Cambria Math"/>
                </w:rPr>
                <m:t>0</m:t>
              </m:r>
            </m:sub>
          </m:sSub>
          <m:r>
            <m:rPr>
              <m:sty m:val="p"/>
            </m:rPr>
            <w:rPr>
              <w:rFonts w:ascii="Cambria Math" w:hAnsi="Cambria Math"/>
            </w:rPr>
            <m:t>=100×</m:t>
          </m:r>
          <m:f>
            <m:fPr>
              <m:ctrlPr>
                <w:rPr>
                  <w:rFonts w:ascii="Cambria Math" w:eastAsiaTheme="minorEastAsia" w:hAnsi="Cambria Math"/>
                </w:rPr>
              </m:ctrlPr>
            </m:fPr>
            <m:num>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max</m:t>
                  </m:r>
                </m:sub>
              </m:sSub>
              <m:r>
                <m:rPr>
                  <m:sty m:val="p"/>
                </m:rPr>
                <w:rPr>
                  <w:rFonts w:ascii="Cambria Math" w:hAnsi="Cambria Math"/>
                </w:rPr>
                <m:t>[I]</m:t>
              </m:r>
              <m:sSub>
                <m:sSubPr>
                  <m:ctrlPr>
                    <w:rPr>
                      <w:rFonts w:ascii="Cambria Math" w:hAnsi="Cambria Math"/>
                    </w:rPr>
                  </m:ctrlPr>
                </m:sSubPr>
                <m:e>
                  <m:r>
                    <w:rPr>
                      <w:rFonts w:ascii="Cambria Math" w:hAnsi="Cambria Math"/>
                    </w:rPr>
                    <m:t>k</m:t>
                  </m:r>
                </m:e>
                <m:sub>
                  <m:r>
                    <m:rPr>
                      <m:sty m:val="p"/>
                    </m:rPr>
                    <w:rPr>
                      <w:rFonts w:ascii="Cambria Math" w:hAnsi="Cambria Math"/>
                    </w:rPr>
                    <m:t>3</m:t>
                  </m:r>
                </m:sub>
              </m:sSub>
            </m:num>
            <m:den>
              <m:d>
                <m:dPr>
                  <m:begChr m:val="["/>
                  <m:endChr m:val="]"/>
                  <m:ctrlPr>
                    <w:rPr>
                      <w:rFonts w:ascii="Cambria Math" w:hAnsi="Cambria Math"/>
                      <w:iCs/>
                    </w:rPr>
                  </m:ctrlPr>
                </m:dPr>
                <m:e>
                  <m:r>
                    <m:rPr>
                      <m:sty m:val="p"/>
                    </m:rPr>
                    <w:rPr>
                      <w:rFonts w:ascii="Cambria Math" w:hAnsi="Cambria Math"/>
                    </w:rPr>
                    <m:t>I</m:t>
                  </m:r>
                </m:e>
              </m:d>
              <m:sSub>
                <m:sSubPr>
                  <m:ctrlPr>
                    <w:rPr>
                      <w:rFonts w:ascii="Cambria Math" w:hAnsi="Cambria Math"/>
                    </w:rPr>
                  </m:ctrlPr>
                </m:sSubPr>
                <m:e>
                  <m:r>
                    <w:rPr>
                      <w:rFonts w:ascii="Cambria Math" w:hAnsi="Cambria Math"/>
                    </w:rPr>
                    <m:t>k</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4</m:t>
                  </m:r>
                </m:sub>
              </m:sSub>
            </m:den>
          </m:f>
          <m:d>
            <m:dPr>
              <m:ctrlPr>
                <w:rPr>
                  <w:rFonts w:ascii="Cambria Math" w:eastAsiaTheme="minorEastAsia" w:hAnsi="Cambria Math"/>
                </w:rPr>
              </m:ctrlPr>
            </m:dPr>
            <m:e>
              <m:r>
                <m:rPr>
                  <m:sty m:val="p"/>
                </m:rPr>
                <w:rPr>
                  <w:rFonts w:ascii="Cambria Math" w:eastAsiaTheme="minorEastAsia" w:hAnsi="Cambria Math"/>
                </w:rPr>
                <m:t>1-</m:t>
              </m:r>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d>
                    <m:dPr>
                      <m:ctrlPr>
                        <w:rPr>
                          <w:rFonts w:ascii="Cambria Math" w:eastAsiaTheme="minorEastAsia" w:hAnsi="Cambria Math"/>
                        </w:rPr>
                      </m:ctrlPr>
                    </m:dPr>
                    <m:e>
                      <m:d>
                        <m:dPr>
                          <m:begChr m:val="["/>
                          <m:endChr m:val="]"/>
                          <m:ctrlPr>
                            <w:rPr>
                              <w:rFonts w:ascii="Cambria Math" w:hAnsi="Cambria Math"/>
                              <w:iCs/>
                            </w:rPr>
                          </m:ctrlPr>
                        </m:dPr>
                        <m:e>
                          <m:r>
                            <m:rPr>
                              <m:sty m:val="p"/>
                            </m:rPr>
                            <w:rPr>
                              <w:rFonts w:ascii="Cambria Math" w:hAnsi="Cambria Math"/>
                            </w:rPr>
                            <m:t>I</m:t>
                          </m:r>
                        </m:e>
                      </m:d>
                      <m:sSub>
                        <m:sSubPr>
                          <m:ctrlPr>
                            <w:rPr>
                              <w:rFonts w:ascii="Cambria Math" w:hAnsi="Cambria Math"/>
                            </w:rPr>
                          </m:ctrlPr>
                        </m:sSubPr>
                        <m:e>
                          <m:r>
                            <w:rPr>
                              <w:rFonts w:ascii="Cambria Math" w:hAnsi="Cambria Math"/>
                            </w:rPr>
                            <m:t>k</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4</m:t>
                          </m:r>
                        </m:sub>
                      </m:sSub>
                    </m:e>
                  </m:d>
                  <m:sSub>
                    <m:sSubPr>
                      <m:ctrlPr>
                        <w:rPr>
                          <w:rFonts w:ascii="Cambria Math" w:eastAsiaTheme="minorEastAsia" w:hAnsi="Cambria Math"/>
                        </w:rPr>
                      </m:ctrlPr>
                    </m:sSubPr>
                    <m:e>
                      <m:r>
                        <w:rPr>
                          <w:rFonts w:ascii="Cambria Math" w:eastAsiaTheme="minorEastAsia" w:hAnsi="Cambria Math"/>
                        </w:rPr>
                        <m:t>t</m:t>
                      </m:r>
                    </m:e>
                    <m:sub>
                      <m:r>
                        <m:rPr>
                          <m:sty m:val="p"/>
                        </m:rPr>
                        <w:rPr>
                          <w:rFonts w:ascii="Cambria Math" w:eastAsiaTheme="minorEastAsia" w:hAnsi="Cambria Math"/>
                        </w:rPr>
                        <m:t>PI</m:t>
                      </m:r>
                    </m:sub>
                  </m:sSub>
                </m:sup>
              </m:sSup>
            </m:e>
          </m:d>
        </m:oMath>
      </m:oMathPara>
    </w:p>
    <w:p w14:paraId="4DE954D3" w14:textId="690A1BCE" w:rsidR="00B92DD5" w:rsidRPr="00D6110F" w:rsidRDefault="00AB62AF" w:rsidP="00B92DD5">
      <w:pPr>
        <w:spacing w:afterLines="120" w:after="288"/>
        <w:rPr>
          <w:rFonts w:cstheme="minorHAnsi"/>
        </w:rPr>
      </w:pPr>
      <w:r>
        <w:rPr>
          <w:rFonts w:cstheme="minorHAnsi"/>
        </w:rPr>
        <w:t>W</w:t>
      </w:r>
      <w:r w:rsidR="00B92DD5">
        <w:rPr>
          <w:rFonts w:cstheme="minorHAnsi"/>
        </w:rPr>
        <w:t>here</w:t>
      </w:r>
      <w:r>
        <w:rPr>
          <w:rFonts w:cstheme="minorHAnsi"/>
        </w:rPr>
        <w:t xml:space="preserve"> </w:t>
      </w:r>
      <w:proofErr w:type="spellStart"/>
      <w:r w:rsidRPr="00AB62AF">
        <w:rPr>
          <w:rFonts w:cstheme="minorHAnsi"/>
          <w:i/>
          <w:iCs/>
        </w:rPr>
        <w:t>t</w:t>
      </w:r>
      <w:r w:rsidRPr="00AB62AF">
        <w:rPr>
          <w:rFonts w:cstheme="minorHAnsi"/>
          <w:vertAlign w:val="subscript"/>
        </w:rPr>
        <w:t>PI</w:t>
      </w:r>
      <w:proofErr w:type="spellEnd"/>
      <w:r w:rsidR="00B92DD5">
        <w:rPr>
          <w:rFonts w:cstheme="minorHAnsi"/>
        </w:rPr>
        <w:t xml:space="preserve"> is the compound pre-incubation time. </w:t>
      </w:r>
    </w:p>
    <w:p w14:paraId="78B0C5DA" w14:textId="30A326BF" w:rsidR="002F2546" w:rsidRDefault="002F2546" w:rsidP="002F2546"/>
    <w:p w14:paraId="7E122C40" w14:textId="5BCEFF2D" w:rsidR="002F2546" w:rsidRDefault="002F2546" w:rsidP="002F2546"/>
    <w:p w14:paraId="65DE0B54" w14:textId="465F64CD" w:rsidR="00AB62AF" w:rsidRPr="00AB62AF" w:rsidRDefault="00856D3D" w:rsidP="004B7C70">
      <w:pPr>
        <w:rPr>
          <w:sz w:val="20"/>
        </w:rPr>
      </w:pPr>
      <w:r w:rsidRPr="00856D3D">
        <w:t xml:space="preserve"> </w:t>
      </w:r>
    </w:p>
    <w:p w14:paraId="0BB6DD68" w14:textId="01589ACE" w:rsidR="00AB62AF" w:rsidRDefault="00AB62AF" w:rsidP="00573055"/>
    <w:p w14:paraId="3F3770E8" w14:textId="77777777" w:rsidR="00AB62AF" w:rsidRDefault="00AB62AF" w:rsidP="00573055"/>
    <w:p w14:paraId="50D6697E" w14:textId="463EF375" w:rsidR="00573055" w:rsidRPr="00372A4A" w:rsidRDefault="00F11526" w:rsidP="00180634">
      <w:pPr>
        <w:pStyle w:val="Heading3"/>
      </w:pPr>
      <w:r w:rsidRPr="00F11526">
        <w:t>False-Positive</w:t>
      </w:r>
      <w:r>
        <w:t xml:space="preserve"> Long Residence Time Resulting f</w:t>
      </w:r>
      <w:r w:rsidRPr="00F11526">
        <w:t>rom Incomplete Washout</w:t>
      </w:r>
    </w:p>
    <w:p w14:paraId="36830239" w14:textId="0616A1D7" w:rsidR="009B250A" w:rsidRDefault="00971B48" w:rsidP="00971B48">
      <w:pPr>
        <w:ind w:firstLine="576"/>
      </w:pPr>
      <w:r>
        <w:t>The kinetic washout method assumes the free compound is so well washed out that no new target-compound complexes form in the tracer incubation step. What happens when this is not the case</w:t>
      </w:r>
      <w:r w:rsidR="00AB62AF">
        <w:t>?</w:t>
      </w:r>
      <w:r>
        <w:t xml:space="preserve"> </w:t>
      </w:r>
      <w:r w:rsidR="00AB62AF">
        <w:t>How do the data appear</w:t>
      </w:r>
      <w:r>
        <w:t xml:space="preserve"> when the wash is inefficient and there is ample free compound remaining to bind the target in the tracer incubation? Compounds with short RTs can appear to possess long RTs, giving false positives in </w:t>
      </w:r>
      <w:r w:rsidR="002F2546">
        <w:t>lead optimization</w:t>
      </w:r>
      <w:r>
        <w:t xml:space="preserve"> where the goal is a long RT compound.</w:t>
      </w:r>
    </w:p>
    <w:p w14:paraId="24F96552" w14:textId="3FE3FA37" w:rsidR="002F2546" w:rsidRDefault="002F2546" w:rsidP="00971B48">
      <w:pPr>
        <w:ind w:firstLine="576"/>
      </w:pPr>
      <w:r>
        <w:lastRenderedPageBreak/>
        <w:t xml:space="preserve">A worst-case scenario is presented in </w:t>
      </w:r>
      <w:r w:rsidR="00900795">
        <w:t>Figure</w:t>
      </w:r>
      <w:r>
        <w:t xml:space="preserve"> 13, using simulated data. A compound with a short RT (6 min) is dosed at a very high concentration in the compound pre-incubation step (1,000 </w:t>
      </w:r>
      <w:proofErr w:type="spellStart"/>
      <w:r>
        <w:t>nM</w:t>
      </w:r>
      <w:proofErr w:type="spellEnd"/>
      <w:r>
        <w:t xml:space="preserve">, which is 100 </w:t>
      </w:r>
      <w:r w:rsidR="008B6AD9">
        <w:t xml:space="preserve">times </w:t>
      </w:r>
      <w:r>
        <w:t xml:space="preserve">the compound </w:t>
      </w:r>
      <w:proofErr w:type="spellStart"/>
      <w:proofErr w:type="gramStart"/>
      <w:r w:rsidRPr="00AB62AF">
        <w:rPr>
          <w:i/>
          <w:iCs/>
        </w:rPr>
        <w:t>K</w:t>
      </w:r>
      <w:r w:rsidRPr="00AB62AF">
        <w:rPr>
          <w:vertAlign w:val="subscript"/>
        </w:rPr>
        <w:t>d</w:t>
      </w:r>
      <w:proofErr w:type="spellEnd"/>
      <w:proofErr w:type="gramEnd"/>
      <w:r>
        <w:t xml:space="preserve"> of 10 </w:t>
      </w:r>
      <w:proofErr w:type="spellStart"/>
      <w:r>
        <w:t>nM</w:t>
      </w:r>
      <w:proofErr w:type="spellEnd"/>
      <w:r>
        <w:t>). Then the free compound is washed out</w:t>
      </w:r>
      <w:r w:rsidR="008B6AD9">
        <w:t>,</w:t>
      </w:r>
      <w:r>
        <w:t xml:space="preserve"> but the washout is not complete – it removes only 90% of the free compound. This leaves</w:t>
      </w:r>
      <w:r w:rsidR="00AB62AF">
        <w:t xml:space="preserve"> compound</w:t>
      </w:r>
      <w:r>
        <w:t xml:space="preserve"> in the well</w:t>
      </w:r>
      <w:r w:rsidR="00AB62AF">
        <w:t>, at</w:t>
      </w:r>
      <w:r>
        <w:t xml:space="preserve"> 100 </w:t>
      </w:r>
      <w:proofErr w:type="spellStart"/>
      <w:r>
        <w:t>nM</w:t>
      </w:r>
      <w:proofErr w:type="spellEnd"/>
      <w:r w:rsidR="00AB62AF">
        <w:t xml:space="preserve"> concentration,</w:t>
      </w:r>
      <w:r>
        <w:t xml:space="preserve"> when the tracer is added. This concentration, at 10 </w:t>
      </w:r>
      <w:r w:rsidR="008B6AD9">
        <w:t>times</w:t>
      </w:r>
      <w:r>
        <w:t xml:space="preserve"> the </w:t>
      </w:r>
      <w:proofErr w:type="spellStart"/>
      <w:proofErr w:type="gramStart"/>
      <w:r w:rsidR="009551A3" w:rsidRPr="00AB62AF">
        <w:rPr>
          <w:i/>
          <w:iCs/>
        </w:rPr>
        <w:t>K</w:t>
      </w:r>
      <w:r w:rsidR="009551A3" w:rsidRPr="00AB62AF">
        <w:rPr>
          <w:vertAlign w:val="subscript"/>
        </w:rPr>
        <w:t>d</w:t>
      </w:r>
      <w:proofErr w:type="spellEnd"/>
      <w:proofErr w:type="gramEnd"/>
      <w:r>
        <w:t xml:space="preserve">, easily competes against the tracer. This results in strong inhibition of tracer binding (red squares in </w:t>
      </w:r>
      <w:r w:rsidR="00900795">
        <w:t>Figure</w:t>
      </w:r>
      <w:r>
        <w:t xml:space="preserve"> 13). Alarmingly, the data resemble those for a compound with a much longer RT of 36 </w:t>
      </w:r>
      <w:proofErr w:type="spellStart"/>
      <w:r>
        <w:t>hr</w:t>
      </w:r>
      <w:proofErr w:type="spellEnd"/>
      <w:r>
        <w:t xml:space="preserve">, run under the proper conditions, i.e. complete washout of free compound (blue diamonds, </w:t>
      </w:r>
      <w:r w:rsidR="00900795">
        <w:t>Figure</w:t>
      </w:r>
      <w:r>
        <w:t xml:space="preserve"> 13). Analysis of the 6 min RT compound data with the kinetic washout equation gives a fitted RT of 10 hr. These results show that incomplete washout of compound can result in a false positive long RT.</w:t>
      </w:r>
    </w:p>
    <w:p w14:paraId="61941E4F" w14:textId="3623C0B1" w:rsidR="00504830" w:rsidRPr="00504830" w:rsidRDefault="00504830" w:rsidP="00971B48">
      <w:pPr>
        <w:ind w:firstLine="576"/>
      </w:pPr>
      <w:r>
        <w:t xml:space="preserve">Data in </w:t>
      </w:r>
      <w:r w:rsidR="00900795">
        <w:t>Figure</w:t>
      </w:r>
      <w:r>
        <w:t xml:space="preserve"> 13 were simulated using Eq. 5 of ref </w:t>
      </w:r>
      <w:r w:rsidR="00E87AD9">
        <w:t>(53)</w:t>
      </w:r>
      <w:r>
        <w:t xml:space="preserve">, with the following parameter values: </w:t>
      </w:r>
      <w:r w:rsidR="009551A3">
        <w:t>[</w:t>
      </w:r>
      <w:r>
        <w:t>L</w:t>
      </w:r>
      <w:r w:rsidR="009551A3">
        <w:t>]</w:t>
      </w:r>
      <w:r>
        <w:t xml:space="preserve">, 6 </w:t>
      </w:r>
      <w:proofErr w:type="spellStart"/>
      <w:r>
        <w:t>nM</w:t>
      </w:r>
      <w:proofErr w:type="spellEnd"/>
      <w:r>
        <w:t xml:space="preserve">; </w:t>
      </w:r>
      <w:proofErr w:type="spellStart"/>
      <w:r>
        <w:t>B</w:t>
      </w:r>
      <w:r w:rsidRPr="009551A3">
        <w:rPr>
          <w:vertAlign w:val="subscript"/>
        </w:rPr>
        <w:t>max</w:t>
      </w:r>
      <w:proofErr w:type="spellEnd"/>
      <w:r>
        <w:t xml:space="preserve">, 30 binding units; </w:t>
      </w:r>
      <w:r w:rsidR="00431CB2" w:rsidRPr="001503F1">
        <w:rPr>
          <w:i/>
          <w:iCs/>
        </w:rPr>
        <w:t>k</w:t>
      </w:r>
      <w:r w:rsidR="00431CB2" w:rsidRPr="001503F1">
        <w:rPr>
          <w:vertAlign w:val="subscript"/>
        </w:rPr>
        <w:t>1</w:t>
      </w:r>
      <w:r>
        <w:t xml:space="preserve">, 2.5 </w:t>
      </w:r>
      <w:r>
        <w:sym w:font="Symbol" w:char="F0B4"/>
      </w:r>
      <w:r>
        <w:t xml:space="preserve"> 10</w:t>
      </w:r>
      <w:r w:rsidRPr="00504830">
        <w:rPr>
          <w:vertAlign w:val="superscript"/>
        </w:rPr>
        <w:t>7</w:t>
      </w:r>
      <w:r>
        <w:t xml:space="preserve"> </w:t>
      </w:r>
      <w:bookmarkStart w:id="21" w:name="OLE_LINK21"/>
      <w:r w:rsidR="009551A3">
        <w:t>M</w:t>
      </w:r>
      <w:r w:rsidR="009551A3" w:rsidRPr="009551A3">
        <w:rPr>
          <w:vertAlign w:val="superscript"/>
        </w:rPr>
        <w:t>-1</w:t>
      </w:r>
      <w:r w:rsidR="009551A3">
        <w:t>min</w:t>
      </w:r>
      <w:r w:rsidR="009551A3" w:rsidRPr="009551A3">
        <w:rPr>
          <w:vertAlign w:val="superscript"/>
        </w:rPr>
        <w:t>-1</w:t>
      </w:r>
      <w:bookmarkEnd w:id="21"/>
      <w:r>
        <w:t xml:space="preserve">; </w:t>
      </w:r>
      <w:r w:rsidR="006B589F">
        <w:rPr>
          <w:i/>
          <w:iCs/>
        </w:rPr>
        <w:t>k</w:t>
      </w:r>
      <w:r w:rsidR="006B589F" w:rsidRPr="006B589F">
        <w:rPr>
          <w:vertAlign w:val="subscript"/>
        </w:rPr>
        <w:t>2</w:t>
      </w:r>
      <w:r>
        <w:t xml:space="preserve">, 0.05 min-1; </w:t>
      </w:r>
      <w:r w:rsidR="00431CB2" w:rsidRPr="00431CB2">
        <w:rPr>
          <w:i/>
          <w:iCs/>
        </w:rPr>
        <w:t>k</w:t>
      </w:r>
      <w:r w:rsidR="00431CB2" w:rsidRPr="00431CB2">
        <w:rPr>
          <w:vertAlign w:val="subscript"/>
        </w:rPr>
        <w:t>3</w:t>
      </w:r>
      <w:r>
        <w:t xml:space="preserve">, 1.67 </w:t>
      </w:r>
      <w:r>
        <w:sym w:font="Symbol" w:char="F0B4"/>
      </w:r>
      <w:r>
        <w:t xml:space="preserve"> 10</w:t>
      </w:r>
      <w:r w:rsidRPr="00504830">
        <w:rPr>
          <w:vertAlign w:val="superscript"/>
        </w:rPr>
        <w:t>7</w:t>
      </w:r>
      <w:r>
        <w:t xml:space="preserve"> </w:t>
      </w:r>
      <w:r w:rsidR="009551A3">
        <w:t>M</w:t>
      </w:r>
      <w:r w:rsidR="009551A3" w:rsidRPr="009551A3">
        <w:rPr>
          <w:vertAlign w:val="superscript"/>
        </w:rPr>
        <w:t>-1</w:t>
      </w:r>
      <w:r w:rsidR="009551A3">
        <w:t>min</w:t>
      </w:r>
      <w:r w:rsidR="009551A3" w:rsidRPr="009551A3">
        <w:rPr>
          <w:vertAlign w:val="superscript"/>
        </w:rPr>
        <w:t>-1</w:t>
      </w:r>
      <w:r>
        <w:t xml:space="preserve">; </w:t>
      </w:r>
      <w:r w:rsidR="00431CB2" w:rsidRPr="00431CB2">
        <w:rPr>
          <w:i/>
          <w:iCs/>
        </w:rPr>
        <w:t>k</w:t>
      </w:r>
      <w:r w:rsidR="00431CB2" w:rsidRPr="00431CB2">
        <w:rPr>
          <w:vertAlign w:val="subscript"/>
        </w:rPr>
        <w:t>4</w:t>
      </w:r>
      <w:r>
        <w:t>, 0.167 min</w:t>
      </w:r>
      <w:r w:rsidRPr="009551A3">
        <w:rPr>
          <w:vertAlign w:val="superscript"/>
        </w:rPr>
        <w:t>-1</w:t>
      </w:r>
      <w:r>
        <w:t xml:space="preserve">; pre-incubation time, 30 min; pre-incubation compound concentration, 1,000 </w:t>
      </w:r>
      <w:proofErr w:type="spellStart"/>
      <w:r>
        <w:t>nM</w:t>
      </w:r>
      <w:proofErr w:type="spellEnd"/>
      <w:r>
        <w:t xml:space="preserve">; tracer incubation compound concentration, 10 </w:t>
      </w:r>
      <w:proofErr w:type="spellStart"/>
      <w:r>
        <w:t>nM</w:t>
      </w:r>
      <w:proofErr w:type="spellEnd"/>
      <w:r>
        <w:t xml:space="preserve">. Data were fitted to the kinetic washout equation (Eq. </w:t>
      </w:r>
      <w:r w:rsidR="009551A3">
        <w:t>8</w:t>
      </w:r>
      <w:r>
        <w:t xml:space="preserve">). </w:t>
      </w:r>
      <w:proofErr w:type="spellStart"/>
      <w:r>
        <w:t>B</w:t>
      </w:r>
      <w:r w:rsidRPr="009551A3">
        <w:rPr>
          <w:vertAlign w:val="subscript"/>
        </w:rPr>
        <w:t>max</w:t>
      </w:r>
      <w:proofErr w:type="spellEnd"/>
      <w:r>
        <w:t xml:space="preserve"> was constrained to that of the control curve (30 binding units).</w:t>
      </w:r>
    </w:p>
    <w:p w14:paraId="75D35387" w14:textId="300ABB2E" w:rsidR="00E82656" w:rsidRDefault="00E82656" w:rsidP="00230DA2"/>
    <w:p w14:paraId="568A8874" w14:textId="77777777" w:rsidR="009551A3" w:rsidRDefault="009551A3" w:rsidP="009551A3">
      <w:pPr>
        <w:jc w:val="center"/>
      </w:pPr>
    </w:p>
    <w:p w14:paraId="452B02A3" w14:textId="77777777" w:rsidR="009551A3" w:rsidRDefault="009551A3" w:rsidP="008F5EB2"/>
    <w:p w14:paraId="483310D8" w14:textId="0B3B863B" w:rsidR="00587AC3" w:rsidRDefault="006B589F" w:rsidP="00180634">
      <w:pPr>
        <w:pStyle w:val="Heading2"/>
      </w:pPr>
      <w:bookmarkStart w:id="22" w:name="_Complex_Binding_Mechanisms"/>
      <w:bookmarkEnd w:id="22"/>
      <w:r>
        <w:t>Complex</w:t>
      </w:r>
      <w:r w:rsidR="00F11526">
        <w:t xml:space="preserve"> B</w:t>
      </w:r>
      <w:r w:rsidR="00193AB7">
        <w:t xml:space="preserve">inding </w:t>
      </w:r>
      <w:r w:rsidR="00F11526">
        <w:t>M</w:t>
      </w:r>
      <w:r w:rsidR="00193AB7">
        <w:t>echanisms</w:t>
      </w:r>
    </w:p>
    <w:p w14:paraId="33E76CA5" w14:textId="2802F55C" w:rsidR="00193AB7" w:rsidRDefault="00193AB7" w:rsidP="00752CE1">
      <w:pPr>
        <w:ind w:firstLine="720"/>
      </w:pPr>
      <w:r>
        <w:t>Often in binding kinetic</w:t>
      </w:r>
      <w:r w:rsidR="00BA6E72">
        <w:t xml:space="preserve"> studies</w:t>
      </w:r>
      <w:r>
        <w:t xml:space="preserve"> the data do not fit well to the equations given in the pre</w:t>
      </w:r>
      <w:r w:rsidR="00D14C2F">
        <w:t>ceding sections</w:t>
      </w:r>
      <w:r>
        <w:t xml:space="preserve">. These equations assume </w:t>
      </w:r>
      <w:r w:rsidR="00D14C2F">
        <w:t>the binding event is of the simplest form, a single-step, single site target-ligand interaction.</w:t>
      </w:r>
      <w:r>
        <w:t xml:space="preserve"> When the data are not fit well by the equations it can indicate a more complicated binding mechanism. Such mechanisms often include two conformational states of the </w:t>
      </w:r>
      <w:r w:rsidR="0045544B">
        <w:t>target</w:t>
      </w:r>
      <w:r>
        <w:t>, with different binding kinetics, giving rise to multiphasic time course curves (</w:t>
      </w:r>
      <w:r w:rsidR="00752CE1">
        <w:t xml:space="preserve">for example, </w:t>
      </w:r>
      <w:r w:rsidR="00900795">
        <w:t>Figure</w:t>
      </w:r>
      <w:r>
        <w:t xml:space="preserve"> 14). Thanks to the efforts of investigators</w:t>
      </w:r>
      <w:r w:rsidR="008B6AD9">
        <w:t>,</w:t>
      </w:r>
      <w:r>
        <w:t xml:space="preserve"> equations are available to analyze more complex binding data to obtain estimates of the kinetic parameters. While a detailed description is beyond the scope of this chapter, these mechanisms are introduced below and references are provided.</w:t>
      </w:r>
    </w:p>
    <w:p w14:paraId="478DAB3E" w14:textId="77777777" w:rsidR="0041495D" w:rsidRDefault="0041495D" w:rsidP="00752CE1">
      <w:pPr>
        <w:ind w:firstLine="720"/>
      </w:pPr>
    </w:p>
    <w:p w14:paraId="7DE2A755" w14:textId="73C71805" w:rsidR="00193AB7" w:rsidRDefault="00F11526" w:rsidP="00193AB7">
      <w:pPr>
        <w:pStyle w:val="Heading3"/>
      </w:pPr>
      <w:bookmarkStart w:id="23" w:name="_Two_Conformational_States"/>
      <w:bookmarkEnd w:id="23"/>
      <w:r>
        <w:t>Two Conformational States M</w:t>
      </w:r>
      <w:r w:rsidR="00193AB7">
        <w:t>echanism</w:t>
      </w:r>
    </w:p>
    <w:p w14:paraId="3D8ECD31" w14:textId="34A397F2" w:rsidR="00193AB7" w:rsidRDefault="00193AB7" w:rsidP="00193AB7">
      <w:pPr>
        <w:ind w:firstLine="720"/>
      </w:pPr>
      <w:r>
        <w:t>Sometimes there is more than one conformational state of the target in the assay. GPCRs are the classic exampl</w:t>
      </w:r>
      <w:r w:rsidR="00752CE1">
        <w:t>e. In binding assays, the GPCR exists in two predominant conformations, the G-protein coupled state and the uncoupled state, which bind agonist ligands with different affinity</w:t>
      </w:r>
      <w:r w:rsidR="00E87AD9">
        <w:t xml:space="preserve"> (60,61)</w:t>
      </w:r>
      <w:r w:rsidR="00B07480">
        <w:t xml:space="preserve"> </w:t>
      </w:r>
      <w:r w:rsidR="00752CE1">
        <w:t>and with different binding kinetics</w:t>
      </w:r>
      <w:r w:rsidR="00E87AD9">
        <w:t xml:space="preserve"> (</w:t>
      </w:r>
      <w:r w:rsidR="0045544B">
        <w:t>44,</w:t>
      </w:r>
      <w:r w:rsidR="00E87AD9">
        <w:t>62)</w:t>
      </w:r>
      <w:r w:rsidR="00752CE1">
        <w:t>. This mechanism is represented by the following scheme:</w:t>
      </w:r>
    </w:p>
    <w:p w14:paraId="76C6F4FE" w14:textId="77777777" w:rsidR="00C6082A" w:rsidRDefault="00C6082A" w:rsidP="00193AB7">
      <w:pPr>
        <w:ind w:firstLine="720"/>
      </w:pPr>
    </w:p>
    <w:p w14:paraId="14F8FE78" w14:textId="53D24E72" w:rsidR="00752CE1" w:rsidRDefault="00C119F5" w:rsidP="0042324D">
      <w:pPr>
        <w:pStyle w:val="Equation"/>
      </w:pPr>
      <w:r>
        <w:rPr>
          <w:noProof/>
        </w:rPr>
        <w:lastRenderedPageBreak/>
        <w:drawing>
          <wp:inline distT="0" distB="0" distL="0" distR="0" wp14:anchorId="46184062" wp14:editId="4FCB50C7">
            <wp:extent cx="1389888" cy="1057656"/>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heme on page 29_10pc300dpi.jpg"/>
                    <pic:cNvPicPr/>
                  </pic:nvPicPr>
                  <pic:blipFill>
                    <a:blip r:embed="rId30">
                      <a:extLst>
                        <a:ext uri="{28A0092B-C50C-407E-A947-70E740481C1C}">
                          <a14:useLocalDpi xmlns:a14="http://schemas.microsoft.com/office/drawing/2010/main" val="0"/>
                        </a:ext>
                      </a:extLst>
                    </a:blip>
                    <a:stretch>
                      <a:fillRect/>
                    </a:stretch>
                  </pic:blipFill>
                  <pic:spPr>
                    <a:xfrm>
                      <a:off x="0" y="0"/>
                      <a:ext cx="1389888" cy="1057656"/>
                    </a:xfrm>
                    <a:prstGeom prst="rect">
                      <a:avLst/>
                    </a:prstGeom>
                  </pic:spPr>
                </pic:pic>
              </a:graphicData>
            </a:graphic>
          </wp:inline>
        </w:drawing>
      </w:r>
    </w:p>
    <w:p w14:paraId="0718EAA0" w14:textId="77777777" w:rsidR="00C6082A" w:rsidRDefault="00C6082A" w:rsidP="00752CE1"/>
    <w:p w14:paraId="63C591CA" w14:textId="07E6D2F6" w:rsidR="00752CE1" w:rsidRDefault="00752CE1" w:rsidP="00752CE1">
      <w:proofErr w:type="gramStart"/>
      <w:r>
        <w:t>where</w:t>
      </w:r>
      <w:proofErr w:type="gramEnd"/>
      <w:r>
        <w:t xml:space="preserve"> the subscripts A and B denote the two conformational states of the receptor.</w:t>
      </w:r>
      <w:r w:rsidR="00F573D7">
        <w:t xml:space="preserve"> Note there is no interconversion between the states in this model.</w:t>
      </w:r>
      <w:r>
        <w:t xml:space="preserve"> This mechanism gives rise to biphasic time course curves for ligand association and dissociation (</w:t>
      </w:r>
      <w:r w:rsidR="00900795">
        <w:t>Figure</w:t>
      </w:r>
      <w:r>
        <w:t xml:space="preserve"> 14) – there are two components to the curves, one fast and one slow</w:t>
      </w:r>
      <w:r w:rsidR="00BA6E72">
        <w:t xml:space="preserve"> </w:t>
      </w:r>
      <w:r w:rsidR="00E87AD9">
        <w:t>(62)</w:t>
      </w:r>
      <w:r>
        <w:t>. Equations are available in Prism for analyzing these data (“Two phase association” and “Two phase decay”). An example of this mechanism and the data analysis is provided in ref</w:t>
      </w:r>
      <w:r w:rsidR="00B07480">
        <w:t xml:space="preserve">s </w:t>
      </w:r>
      <w:r w:rsidR="00E87AD9">
        <w:t>(62</w:t>
      </w:r>
      <w:proofErr w:type="gramStart"/>
      <w:r w:rsidR="00E87AD9">
        <w:t>,63</w:t>
      </w:r>
      <w:proofErr w:type="gramEnd"/>
      <w:r w:rsidR="00E87AD9">
        <w:t>)</w:t>
      </w:r>
      <w:r>
        <w:t xml:space="preserve">. The </w:t>
      </w:r>
      <w:r w:rsidR="00326E62">
        <w:t>mechanism</w:t>
      </w:r>
      <w:r>
        <w:t xml:space="preserve"> has been extended to handle the competition kinetic scenario (i.e. with two ligands, an unlabeled test ligand and a labeled tracer</w:t>
      </w:r>
      <w:r w:rsidR="00326E62">
        <w:t xml:space="preserve">), </w:t>
      </w:r>
      <w:r w:rsidR="00B07480">
        <w:t xml:space="preserve">as </w:t>
      </w:r>
      <w:r w:rsidR="00326E62">
        <w:t>described in ref</w:t>
      </w:r>
      <w:r w:rsidR="00B07480">
        <w:t xml:space="preserve"> </w:t>
      </w:r>
      <w:r w:rsidR="00E87AD9">
        <w:t>(62)</w:t>
      </w:r>
      <w:r w:rsidR="00326E62">
        <w:t>.</w:t>
      </w:r>
    </w:p>
    <w:p w14:paraId="50288179" w14:textId="3CFBECE1" w:rsidR="001B3DEE" w:rsidRDefault="001B3DEE" w:rsidP="00752CE1"/>
    <w:p w14:paraId="07FD9DBA" w14:textId="77777777" w:rsidR="00BA6E72" w:rsidRDefault="00BA6E72" w:rsidP="00752CE1"/>
    <w:p w14:paraId="1F8A9817" w14:textId="74CFACF3" w:rsidR="00326E62" w:rsidRDefault="00F11526" w:rsidP="00326E62">
      <w:pPr>
        <w:pStyle w:val="Heading3"/>
      </w:pPr>
      <w:r>
        <w:t>Two-step “Conformational Induction” M</w:t>
      </w:r>
      <w:r w:rsidR="00326E62">
        <w:t>odel</w:t>
      </w:r>
    </w:p>
    <w:p w14:paraId="31F7F298" w14:textId="3E0C4566" w:rsidR="00752CE1" w:rsidRDefault="00326E62" w:rsidP="00193AB7">
      <w:pPr>
        <w:ind w:firstLine="720"/>
      </w:pPr>
      <w:r>
        <w:t>This mechanism is often encountered with enzymes. The ligand first binds the target in a loose complex. The complex then undergoes a conformational change, producing a tightly-bound complex. This is a mechanism of conformational induction – the ligand induces a new conformation of the target after binding to it.</w:t>
      </w:r>
      <w:r w:rsidR="003A52F1">
        <w:t xml:space="preserve"> This mechanism is discussed in detail in refs</w:t>
      </w:r>
      <w:r w:rsidR="00E87AD9">
        <w:t xml:space="preserve"> (42</w:t>
      </w:r>
      <w:proofErr w:type="gramStart"/>
      <w:r w:rsidR="00E87AD9">
        <w:t>,64,65</w:t>
      </w:r>
      <w:proofErr w:type="gramEnd"/>
      <w:r w:rsidR="00E87AD9">
        <w:t>).</w:t>
      </w:r>
      <w:r>
        <w:t xml:space="preserve"> The mechanism scheme is,</w:t>
      </w:r>
    </w:p>
    <w:p w14:paraId="7518509C" w14:textId="77777777" w:rsidR="00C6082A" w:rsidRDefault="00C6082A" w:rsidP="00193AB7">
      <w:pPr>
        <w:ind w:firstLine="720"/>
      </w:pPr>
    </w:p>
    <w:p w14:paraId="79D32B2B" w14:textId="6E5ED684" w:rsidR="00326E62" w:rsidRDefault="00C119F5" w:rsidP="0042324D">
      <w:pPr>
        <w:pStyle w:val="Equation"/>
      </w:pPr>
      <w:r>
        <w:rPr>
          <w:noProof/>
        </w:rPr>
        <w:drawing>
          <wp:inline distT="0" distB="0" distL="0" distR="0" wp14:anchorId="475871DA" wp14:editId="58E6336E">
            <wp:extent cx="1926336" cy="53949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heme at top of page 30_10pc300dpi.jpg"/>
                    <pic:cNvPicPr/>
                  </pic:nvPicPr>
                  <pic:blipFill>
                    <a:blip r:embed="rId31">
                      <a:extLst>
                        <a:ext uri="{28A0092B-C50C-407E-A947-70E740481C1C}">
                          <a14:useLocalDpi xmlns:a14="http://schemas.microsoft.com/office/drawing/2010/main" val="0"/>
                        </a:ext>
                      </a:extLst>
                    </a:blip>
                    <a:stretch>
                      <a:fillRect/>
                    </a:stretch>
                  </pic:blipFill>
                  <pic:spPr>
                    <a:xfrm>
                      <a:off x="0" y="0"/>
                      <a:ext cx="1926336" cy="539496"/>
                    </a:xfrm>
                    <a:prstGeom prst="rect">
                      <a:avLst/>
                    </a:prstGeom>
                  </pic:spPr>
                </pic:pic>
              </a:graphicData>
            </a:graphic>
          </wp:inline>
        </w:drawing>
      </w:r>
    </w:p>
    <w:p w14:paraId="6E81AD80" w14:textId="77777777" w:rsidR="00C6082A" w:rsidRDefault="00C6082A" w:rsidP="00326E62"/>
    <w:p w14:paraId="7474B881" w14:textId="187C6565" w:rsidR="00326E62" w:rsidRDefault="00326E62" w:rsidP="00326E62">
      <w:r>
        <w:t xml:space="preserve">RL is the first, loosely-bound complex, and R’L is the second, tightly-bound state. </w:t>
      </w:r>
      <w:r w:rsidRPr="00326E62">
        <w:t xml:space="preserve">The first step is the same as the single-site binding </w:t>
      </w:r>
      <w:r w:rsidR="00966775">
        <w:t>mechanism</w:t>
      </w:r>
      <w:r w:rsidRPr="00326E62">
        <w:t xml:space="preserve"> described in </w:t>
      </w:r>
      <w:hyperlink w:anchor="_Basic_Principles_of" w:history="1">
        <w:r w:rsidR="00352772" w:rsidRPr="00352772">
          <w:rPr>
            <w:rStyle w:val="Hyperlink"/>
          </w:rPr>
          <w:t>Basic Principles of Ligand Binding Kinetics</w:t>
        </w:r>
      </w:hyperlink>
      <w:r>
        <w:t xml:space="preserve">. </w:t>
      </w:r>
      <w:r w:rsidRPr="00326E62">
        <w:t xml:space="preserve">The second step is represented as an isomerization event. Transition to </w:t>
      </w:r>
      <w:r>
        <w:t xml:space="preserve">and from </w:t>
      </w:r>
      <w:r w:rsidRPr="00326E62">
        <w:t xml:space="preserve">the R’L state is governed by </w:t>
      </w:r>
      <w:r>
        <w:t xml:space="preserve">isomerization rate constants </w:t>
      </w:r>
      <w:proofErr w:type="spellStart"/>
      <w:r w:rsidRPr="00966775">
        <w:rPr>
          <w:i/>
          <w:iCs/>
        </w:rPr>
        <w:t>k</w:t>
      </w:r>
      <w:r w:rsidRPr="00966775">
        <w:rPr>
          <w:vertAlign w:val="subscript"/>
        </w:rPr>
        <w:t>T</w:t>
      </w:r>
      <w:proofErr w:type="spellEnd"/>
      <w:r>
        <w:t xml:space="preserve"> and</w:t>
      </w:r>
      <w:r w:rsidRPr="00326E62">
        <w:t xml:space="preserve"> </w:t>
      </w:r>
      <w:proofErr w:type="spellStart"/>
      <w:r w:rsidRPr="00966775">
        <w:rPr>
          <w:i/>
          <w:iCs/>
        </w:rPr>
        <w:t>k</w:t>
      </w:r>
      <w:r w:rsidRPr="00966775">
        <w:rPr>
          <w:vertAlign w:val="subscript"/>
        </w:rPr>
        <w:t>R</w:t>
      </w:r>
      <w:proofErr w:type="spellEnd"/>
      <w:r>
        <w:t>, respectively.</w:t>
      </w:r>
    </w:p>
    <w:p w14:paraId="36A26BB7" w14:textId="148B9B0C" w:rsidR="00326E62" w:rsidRDefault="00326E62" w:rsidP="00326E62">
      <w:r>
        <w:tab/>
        <w:t xml:space="preserve">The shape of the curve </w:t>
      </w:r>
      <w:r w:rsidR="006670D1">
        <w:t xml:space="preserve">depends on the technical properties of the assay. If the emitted binding signal for a molecule of RL and a molecule of R’L is the same (e.g. in a </w:t>
      </w:r>
      <w:proofErr w:type="spellStart"/>
      <w:r w:rsidR="006670D1">
        <w:t>radioligand</w:t>
      </w:r>
      <w:proofErr w:type="spellEnd"/>
      <w:r w:rsidR="006670D1">
        <w:t xml:space="preserve"> binding assay) then biphasic curves result, similar to the data in </w:t>
      </w:r>
      <w:r w:rsidR="00900795">
        <w:t>Figure</w:t>
      </w:r>
      <w:r w:rsidR="006670D1">
        <w:t xml:space="preserve"> 14 (see data in ref</w:t>
      </w:r>
      <w:r w:rsidR="00966775">
        <w:t>.</w:t>
      </w:r>
      <w:r w:rsidR="003A52F1">
        <w:t xml:space="preserve"> </w:t>
      </w:r>
      <w:r w:rsidR="00E87AD9">
        <w:t>(65)</w:t>
      </w:r>
      <w:r w:rsidR="006670D1">
        <w:t xml:space="preserve">). Sometimes the binding signal can be dependent on the conformation of the </w:t>
      </w:r>
      <w:r w:rsidR="0045544B">
        <w:t>target</w:t>
      </w:r>
      <w:r w:rsidR="006670D1">
        <w:t xml:space="preserve">, for example in fluorescence assays where fluorescence intensity or resonance energy transfer can change when the conformation of the target changes. When the binding signal for R’L is lower than for R, a rise-and-fall curve shape results </w:t>
      </w:r>
      <w:r w:rsidR="006670D1">
        <w:lastRenderedPageBreak/>
        <w:t xml:space="preserve">(unpublished results). In some cases, the initial complex RL is not detected at all, for example in filtration </w:t>
      </w:r>
      <w:proofErr w:type="spellStart"/>
      <w:r w:rsidR="006670D1">
        <w:t>radioligand</w:t>
      </w:r>
      <w:proofErr w:type="spellEnd"/>
      <w:r w:rsidR="006670D1">
        <w:t xml:space="preserve"> binding assays where the loosely-bound complex dissociates during the filtration wash step. Under this condition, a monophasic association curve results but the </w:t>
      </w:r>
      <w:r w:rsidR="007B71D0">
        <w:t>plot of the observed rate versus the ligand concentration is a hyperbola rather than a straight line</w:t>
      </w:r>
      <w:r w:rsidR="003A52F1">
        <w:t xml:space="preserve"> </w:t>
      </w:r>
      <w:r w:rsidR="00E87AD9">
        <w:t>(42</w:t>
      </w:r>
      <w:proofErr w:type="gramStart"/>
      <w:r w:rsidR="00E87AD9">
        <w:t>,64</w:t>
      </w:r>
      <w:proofErr w:type="gramEnd"/>
      <w:r w:rsidR="00E87AD9">
        <w:t>)</w:t>
      </w:r>
      <w:r w:rsidR="007B71D0">
        <w:t>.</w:t>
      </w:r>
    </w:p>
    <w:p w14:paraId="4A6F98C3" w14:textId="41D97F27" w:rsidR="007B71D0" w:rsidRDefault="007B71D0" w:rsidP="00326E62">
      <w:r>
        <w:tab/>
        <w:t>The mechanism has been extended to handle competition between a labeled tracer and an unlabeled test compound, as described in ref</w:t>
      </w:r>
      <w:r w:rsidR="00E87AD9">
        <w:t xml:space="preserve"> (66)</w:t>
      </w:r>
      <w:r>
        <w:t>.</w:t>
      </w:r>
    </w:p>
    <w:p w14:paraId="39040AAB" w14:textId="6B1A06E7" w:rsidR="007B71D0" w:rsidRDefault="007B71D0" w:rsidP="00326E62"/>
    <w:p w14:paraId="3CAFA155" w14:textId="50ADAF32" w:rsidR="00AB1D30" w:rsidRDefault="00F11526" w:rsidP="007451F0">
      <w:pPr>
        <w:pStyle w:val="Heading3"/>
      </w:pPr>
      <w:r>
        <w:t>Dimeric Target M</w:t>
      </w:r>
      <w:r w:rsidR="00F573D7">
        <w:t>odel</w:t>
      </w:r>
    </w:p>
    <w:p w14:paraId="333C8BDD" w14:textId="28D3D5B4" w:rsidR="00F573D7" w:rsidRDefault="00F573D7" w:rsidP="00F573D7">
      <w:r>
        <w:t xml:space="preserve">In this mechanism, the target consists of a dimer of identical subunits, each subunit containing a single binding site for the ligand. Binding of ligand to one of the subunits within the dimer affects the binding kinetics of the ligand for the second </w:t>
      </w:r>
      <w:r w:rsidR="007451F0">
        <w:t>subunit within the dimer.</w:t>
      </w:r>
    </w:p>
    <w:p w14:paraId="61BA2B3D" w14:textId="22325241" w:rsidR="00C3293F" w:rsidRDefault="00C3293F" w:rsidP="00F573D7"/>
    <w:p w14:paraId="7F8A42A7" w14:textId="5849384B" w:rsidR="00C6082A" w:rsidRDefault="00C119F5" w:rsidP="0042324D">
      <w:pPr>
        <w:pStyle w:val="Equation"/>
      </w:pPr>
      <w:r>
        <w:rPr>
          <w:noProof/>
        </w:rPr>
        <w:drawing>
          <wp:inline distT="0" distB="0" distL="0" distR="0" wp14:anchorId="0C017888" wp14:editId="421BDA27">
            <wp:extent cx="1901952" cy="515112"/>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heme at bottom of page 30_10pc300dpi.jpg"/>
                    <pic:cNvPicPr/>
                  </pic:nvPicPr>
                  <pic:blipFill>
                    <a:blip r:embed="rId32">
                      <a:extLst>
                        <a:ext uri="{28A0092B-C50C-407E-A947-70E740481C1C}">
                          <a14:useLocalDpi xmlns:a14="http://schemas.microsoft.com/office/drawing/2010/main" val="0"/>
                        </a:ext>
                      </a:extLst>
                    </a:blip>
                    <a:stretch>
                      <a:fillRect/>
                    </a:stretch>
                  </pic:blipFill>
                  <pic:spPr>
                    <a:xfrm>
                      <a:off x="0" y="0"/>
                      <a:ext cx="1901952" cy="515112"/>
                    </a:xfrm>
                    <a:prstGeom prst="rect">
                      <a:avLst/>
                    </a:prstGeom>
                  </pic:spPr>
                </pic:pic>
              </a:graphicData>
            </a:graphic>
          </wp:inline>
        </w:drawing>
      </w:r>
    </w:p>
    <w:p w14:paraId="5F812E7C" w14:textId="77777777" w:rsidR="00C6082A" w:rsidRDefault="00C6082A" w:rsidP="00F573D7"/>
    <w:p w14:paraId="779A7B51" w14:textId="7D6985A6" w:rsidR="00C3293F" w:rsidRDefault="00C6082A" w:rsidP="00F573D7">
      <w:r>
        <w:sym w:font="Symbol" w:char="F061"/>
      </w:r>
      <w:r>
        <w:t xml:space="preserve"> </w:t>
      </w:r>
      <w:proofErr w:type="gramStart"/>
      <w:r>
        <w:t>is</w:t>
      </w:r>
      <w:proofErr w:type="gramEnd"/>
      <w:r>
        <w:t xml:space="preserve"> the cooperativity effect of ligand binding to the first subunit on the association rate constant and </w:t>
      </w:r>
      <w:r>
        <w:sym w:font="Symbol" w:char="F062"/>
      </w:r>
      <w:r>
        <w:t xml:space="preserve"> is the cooperativity effect on the dissociation rate constant. </w:t>
      </w:r>
      <w:r w:rsidR="00C3293F">
        <w:t>An equation for this model is derived in ref</w:t>
      </w:r>
      <w:r w:rsidR="00E87AD9">
        <w:t xml:space="preserve"> (67)</w:t>
      </w:r>
      <w:r w:rsidR="00C3293F">
        <w:t>, which also includes a detailed description of the manifestation of the model in the binding data.</w:t>
      </w:r>
    </w:p>
    <w:p w14:paraId="0D4586D8" w14:textId="77777777" w:rsidR="00BF1B86" w:rsidRDefault="00BF1B86" w:rsidP="00927E1A"/>
    <w:p w14:paraId="7E485498" w14:textId="3ECD40B3" w:rsidR="00022060" w:rsidRDefault="00F11526" w:rsidP="00180634">
      <w:pPr>
        <w:pStyle w:val="Heading2"/>
      </w:pPr>
      <w:r>
        <w:t>Binding Kinetics from Functional A</w:t>
      </w:r>
      <w:r w:rsidR="006B589F">
        <w:t>ssays</w:t>
      </w:r>
    </w:p>
    <w:p w14:paraId="37F5BA48" w14:textId="1FE4B9F8" w:rsidR="003A3D12" w:rsidRDefault="004D76C2" w:rsidP="00180634">
      <w:pPr>
        <w:pStyle w:val="Heading3"/>
      </w:pPr>
      <w:r>
        <w:t>Introduction</w:t>
      </w:r>
    </w:p>
    <w:p w14:paraId="1601943E" w14:textId="46C277E0" w:rsidR="00236D0B" w:rsidRDefault="00825313" w:rsidP="00236D0B">
      <w:pPr>
        <w:ind w:firstLine="432"/>
      </w:pPr>
      <w:r>
        <w:t xml:space="preserve">In the preceding material we assume a binding assay is available for the target. Often this is not the case and instead all we have available is a functional assay, i.e. an assay of the target’s biological action, e.g. </w:t>
      </w:r>
      <w:r w:rsidR="00236D0B">
        <w:t xml:space="preserve">product formation by an enzyme, and signaling by a </w:t>
      </w:r>
      <w:r>
        <w:t>receptor. This is particularly true for new targets in drug discovery. Fortunately, methods are available to quantify the binding kinetics of inhibitor compounds from functional assays.</w:t>
      </w:r>
      <w:r w:rsidR="00236D0B">
        <w:t xml:space="preserve"> A detailed description is beyond the scope of this chapter but here the basics of the data analysis are presented together with references for further reading.</w:t>
      </w:r>
    </w:p>
    <w:p w14:paraId="16196AD3" w14:textId="6C41F286" w:rsidR="00236D0B" w:rsidRDefault="00236D0B" w:rsidP="00236D0B"/>
    <w:p w14:paraId="3901EB67" w14:textId="5B4AC27C" w:rsidR="00236D0B" w:rsidRDefault="00236D0B" w:rsidP="00180634">
      <w:pPr>
        <w:pStyle w:val="Heading3"/>
      </w:pPr>
      <w:r>
        <w:lastRenderedPageBreak/>
        <w:t>Enzymes</w:t>
      </w:r>
    </w:p>
    <w:p w14:paraId="5E13F266" w14:textId="551BE7AC" w:rsidR="00236D0B" w:rsidRDefault="00236D0B" w:rsidP="00972785">
      <w:pPr>
        <w:ind w:firstLine="432"/>
      </w:pPr>
      <w:r>
        <w:t xml:space="preserve">The binding kinetics of enzyme inhibitors </w:t>
      </w:r>
      <w:r w:rsidR="00972785">
        <w:t>and equations for analyzing the data have</w:t>
      </w:r>
      <w:r w:rsidR="007E2D60">
        <w:t xml:space="preserve"> been extensively </w:t>
      </w:r>
      <w:r>
        <w:t>investigated and described</w:t>
      </w:r>
      <w:r w:rsidR="00E87AD9">
        <w:t xml:space="preserve"> (31-34)</w:t>
      </w:r>
      <w:r w:rsidR="005736E9">
        <w:t xml:space="preserve">. Methods are available for quantifying inhibitor binding kinetics from enzyme activity assays. The formation of product is measured over time in the absence and presence of the inhibitor. This is done under initial rate conditions, i.e. the linear portion of the time course of product formation. The data are then fit to equations to determine the </w:t>
      </w:r>
      <w:r w:rsidR="0080081D">
        <w:t>RT</w:t>
      </w:r>
      <w:r w:rsidR="000444AC">
        <w:t>.</w:t>
      </w:r>
      <w:r w:rsidR="00972785">
        <w:t xml:space="preserve"> For enzymes, analysis can be complicated by the myriad </w:t>
      </w:r>
      <w:r w:rsidR="003F1E3D">
        <w:t xml:space="preserve">of </w:t>
      </w:r>
      <w:r w:rsidR="00972785">
        <w:t>mechanisms by which the inhibitor inhibits the enzym</w:t>
      </w:r>
      <w:r w:rsidR="007E2D60">
        <w:t>e</w:t>
      </w:r>
      <w:r w:rsidR="00972785">
        <w:t>, and so consultation with an expert in enzymology is recommended.</w:t>
      </w:r>
    </w:p>
    <w:p w14:paraId="0C242568" w14:textId="75B8CEB1" w:rsidR="004D76C2" w:rsidRDefault="00FA4C03" w:rsidP="00FA4C03">
      <w:pPr>
        <w:ind w:firstLine="432"/>
      </w:pPr>
      <w:r>
        <w:t xml:space="preserve">The </w:t>
      </w:r>
      <w:r w:rsidR="0080081D">
        <w:t>RT</w:t>
      </w:r>
      <w:r>
        <w:t xml:space="preserve"> of enzyme inhibitors is often measured using the jump dilution method</w:t>
      </w:r>
      <w:r w:rsidR="00E87AD9">
        <w:t xml:space="preserve"> (32)</w:t>
      </w:r>
      <w:r>
        <w:t xml:space="preserve">, a variant of the washout method described above. </w:t>
      </w:r>
      <w:r w:rsidR="000F254F">
        <w:t xml:space="preserve">Enzyme and inhibitor are incubated together to form the enzyme inhibitor complex. </w:t>
      </w:r>
      <w:r>
        <w:t>Then</w:t>
      </w:r>
      <w:r w:rsidR="000F254F">
        <w:t xml:space="preserve"> the reaction is diluted into a much larger volume of assay buffer containing the substrate and all the necessary reaction components.</w:t>
      </w:r>
      <w:r w:rsidR="004D76C2">
        <w:t xml:space="preserve"> The generation of product is then recorded over time.</w:t>
      </w:r>
      <w:r w:rsidR="000F254F">
        <w:t xml:space="preserve"> </w:t>
      </w:r>
      <w:r>
        <w:t xml:space="preserve">The jump dilution is designed to reduce the free inhibitor concentration sufficiently that it </w:t>
      </w:r>
      <w:r w:rsidR="000F254F">
        <w:t xml:space="preserve">does not appreciably compete with substrate for the enzyme. Consequently, the inhibition that does occur in the substrate incubation is due to the pre-bound complexes </w:t>
      </w:r>
      <w:r w:rsidR="004D76C2">
        <w:t>from the inhibitor pre-incubation step; the complex needs to break down before the substrate can bind and product be formed. A vehicle control is included in the experiment in order to record enzyme activity without the inhibitor; the enzyme is pre-incubated with vehicle and diluted in the same way as the inhibitor sample.</w:t>
      </w:r>
      <w:r>
        <w:t xml:space="preserve"> Data are then analyzed using an appropriate equation to determine the </w:t>
      </w:r>
      <w:r w:rsidR="0080081D">
        <w:t>RT</w:t>
      </w:r>
      <w:r>
        <w:t xml:space="preserve"> (for example, Eq. 8.14 of ref</w:t>
      </w:r>
      <w:r w:rsidR="006507E2">
        <w:t>.</w:t>
      </w:r>
      <w:r w:rsidR="00E87AD9">
        <w:t xml:space="preserve"> (32)</w:t>
      </w:r>
      <w:r>
        <w:t>).</w:t>
      </w:r>
    </w:p>
    <w:p w14:paraId="3BE0312B" w14:textId="06C42AA1" w:rsidR="00022060" w:rsidRDefault="00022060" w:rsidP="00022060"/>
    <w:p w14:paraId="2EA41BA9" w14:textId="708FF476" w:rsidR="00FA4C03" w:rsidRDefault="00FA4C03" w:rsidP="00180634">
      <w:pPr>
        <w:pStyle w:val="Heading3"/>
      </w:pPr>
      <w:r>
        <w:t>G-protein-coupled</w:t>
      </w:r>
      <w:r w:rsidR="00F11526">
        <w:t xml:space="preserve"> R</w:t>
      </w:r>
      <w:r>
        <w:t>eceptors</w:t>
      </w:r>
    </w:p>
    <w:p w14:paraId="73C5EE2E" w14:textId="081F61F3" w:rsidR="00491A7C" w:rsidRDefault="00491A7C" w:rsidP="00491A7C">
      <w:pPr>
        <w:ind w:firstLine="432"/>
      </w:pPr>
      <w:r>
        <w:t>The activity of GPCRs is measured by recording the signaling pathways these receptors stimulate. Signaling is initiated by binding of an activating ligand (an agonist) to the GPCR.  This provides an assay of activity that can be used to quantify the kinetics of inhibitor binding to the GPCR (i.e. antagonist binding).</w:t>
      </w:r>
    </w:p>
    <w:p w14:paraId="36FD6DC9" w14:textId="42567C99" w:rsidR="00491A7C" w:rsidRDefault="00491A7C" w:rsidP="00491A7C">
      <w:pPr>
        <w:ind w:firstLine="432"/>
      </w:pPr>
      <w:r>
        <w:t xml:space="preserve">A straightforward qualitative method for measuring antagonist </w:t>
      </w:r>
      <w:r w:rsidR="0080081D">
        <w:t>RT</w:t>
      </w:r>
      <w:r>
        <w:t xml:space="preserve"> is available employing the washout method</w:t>
      </w:r>
      <w:r w:rsidR="00D3288D">
        <w:t xml:space="preserve"> (</w:t>
      </w:r>
      <w:r w:rsidR="00900795">
        <w:t>Figure</w:t>
      </w:r>
      <w:r w:rsidR="00D3288D">
        <w:t xml:space="preserve"> 15)</w:t>
      </w:r>
      <w:r w:rsidR="00E87AD9">
        <w:t xml:space="preserve"> (35</w:t>
      </w:r>
      <w:proofErr w:type="gramStart"/>
      <w:r w:rsidR="00E87AD9">
        <w:t>,38</w:t>
      </w:r>
      <w:proofErr w:type="gramEnd"/>
      <w:r w:rsidR="00E87AD9">
        <w:t>)</w:t>
      </w:r>
      <w:r>
        <w:t xml:space="preserve">. This procedure, called recovery of agonist responsiveness, uses the washout procedure described in </w:t>
      </w:r>
      <w:hyperlink w:anchor="_Compound_Washout_Method" w:history="1">
        <w:r w:rsidR="00352772" w:rsidRPr="00352772">
          <w:rPr>
            <w:rStyle w:val="Hyperlink"/>
          </w:rPr>
          <w:t>Compound Washout Method</w:t>
        </w:r>
      </w:hyperlink>
      <w:r>
        <w:t>.</w:t>
      </w:r>
      <w:r w:rsidR="00D3288D">
        <w:t xml:space="preserve"> Cells bearing the receptor are pre-incubated with antagonist long enough for the receptor-antagonist complex to form, then the free antagonist </w:t>
      </w:r>
      <w:r w:rsidR="0088699F">
        <w:t xml:space="preserve">is </w:t>
      </w:r>
      <w:r w:rsidR="00D3288D">
        <w:t>removed by washing. The cells are then incubated for various times during which the antagonist will dissociate. Following this, agonist is applied and a rapid signaling assay is conducted (e.g. Ca</w:t>
      </w:r>
      <w:r w:rsidR="00D3288D" w:rsidRPr="00966775">
        <w:rPr>
          <w:vertAlign w:val="superscript"/>
        </w:rPr>
        <w:t>2+</w:t>
      </w:r>
      <w:r w:rsidR="00D3288D">
        <w:t xml:space="preserve"> mobilization). The strength of the signal provides a readout of antagonist binding – the more antagonist </w:t>
      </w:r>
      <w:r w:rsidR="003F1E3D">
        <w:t xml:space="preserve">that </w:t>
      </w:r>
      <w:r w:rsidR="00D3288D">
        <w:t>is bound, the lower the signal</w:t>
      </w:r>
      <w:r w:rsidR="00966775">
        <w:t>ing by</w:t>
      </w:r>
      <w:r w:rsidR="00D3288D">
        <w:t xml:space="preserve"> the agonist. The amount of signal is plotted against the time after antagonist washout. </w:t>
      </w:r>
      <w:r w:rsidR="008B6CC6">
        <w:t xml:space="preserve">Over time, the response increases owing to dissociation of the antagonist, freeing the receptor to bind the agonist and so generate a signal. The time it takes the response to recover can be used as an assessment of the </w:t>
      </w:r>
      <w:r w:rsidR="0080081D">
        <w:t>RT</w:t>
      </w:r>
      <w:r w:rsidR="008B6CC6">
        <w:t xml:space="preserve"> of the compound for the receptor. This is usually quantified as the half-time. However, the relationship between recovery time and </w:t>
      </w:r>
      <w:r w:rsidR="0080081D">
        <w:t>RT</w:t>
      </w:r>
      <w:r w:rsidR="008B6CC6">
        <w:t xml:space="preserve"> is not one-to-one, owing to the pharmacological phenomenon of receptor reserve</w:t>
      </w:r>
      <w:r w:rsidR="00492474">
        <w:t xml:space="preserve"> (</w:t>
      </w:r>
      <w:r w:rsidR="00966775">
        <w:t>which</w:t>
      </w:r>
      <w:r w:rsidR="00492474">
        <w:t xml:space="preserve"> dissociates the degree of </w:t>
      </w:r>
      <w:r w:rsidR="00492474">
        <w:lastRenderedPageBreak/>
        <w:t>receptor occupancy from the degree of functional response)</w:t>
      </w:r>
      <w:r w:rsidR="008B6CC6">
        <w:t xml:space="preserve">. The recovery time is a relative measure of </w:t>
      </w:r>
      <w:r w:rsidR="0080081D">
        <w:t>RT</w:t>
      </w:r>
      <w:r w:rsidR="008B6CC6">
        <w:t>, useful for ranking compounds.</w:t>
      </w:r>
      <w:r w:rsidR="00492474">
        <w:t xml:space="preserve"> Technical considerations in this assay include the use of a short duration signaling assay (so that antagonist does not appreciably dissociate during the signaling assay), and effective washout of the antagonist to avoid false positive long RTs (as described in </w:t>
      </w:r>
      <w:hyperlink w:anchor="_Compound_Washout_Method" w:history="1">
        <w:r w:rsidR="00352772" w:rsidRPr="00352772">
          <w:rPr>
            <w:rStyle w:val="Hyperlink"/>
          </w:rPr>
          <w:t>Compound Washout Method</w:t>
        </w:r>
      </w:hyperlink>
      <w:r w:rsidR="00492474">
        <w:t>).</w:t>
      </w:r>
    </w:p>
    <w:p w14:paraId="35AB1E3D" w14:textId="49637CF3" w:rsidR="003422EB" w:rsidRDefault="003422EB" w:rsidP="003422EB">
      <w:pPr>
        <w:ind w:firstLine="432"/>
      </w:pPr>
      <w:r>
        <w:t xml:space="preserve">More sophisticated methods are available for quantifying binding kinetics in GPCR functional assays. These require a familiarity with receptor theory.  One method utilizes the phenomenon of </w:t>
      </w:r>
      <w:proofErr w:type="spellStart"/>
      <w:r>
        <w:t>insurmountability</w:t>
      </w:r>
      <w:proofErr w:type="spellEnd"/>
      <w:r>
        <w:t xml:space="preserve">, a property of slowly-dissociating antagonists in functional assays in which the antagonist reduces the maximal response to the agonist </w:t>
      </w:r>
      <w:r w:rsidR="00D42632">
        <w:t>(36</w:t>
      </w:r>
      <w:proofErr w:type="gramStart"/>
      <w:r w:rsidR="00D42632">
        <w:t>,37</w:t>
      </w:r>
      <w:proofErr w:type="gramEnd"/>
      <w:r w:rsidR="00D42632">
        <w:t>)</w:t>
      </w:r>
      <w:r>
        <w:t>. Alternatively, if there is no receptor reserve in the functional assay the signaling time course can be directly fitted using an analogue of the competition kinetics equation</w:t>
      </w:r>
      <w:r w:rsidR="00EC1564">
        <w:t xml:space="preserve"> </w:t>
      </w:r>
      <w:r w:rsidR="00D42632">
        <w:t>(39)</w:t>
      </w:r>
      <w:r>
        <w:t>.</w:t>
      </w:r>
    </w:p>
    <w:p w14:paraId="2443A7A9" w14:textId="5CEFFBB4" w:rsidR="008B6CC6" w:rsidRDefault="008B6CC6" w:rsidP="008B6CC6"/>
    <w:p w14:paraId="69568EA7" w14:textId="7F393A3E" w:rsidR="00B76950" w:rsidRDefault="00B76950" w:rsidP="00180634">
      <w:pPr>
        <w:pStyle w:val="Heading2"/>
      </w:pPr>
      <w:r>
        <w:t>Summary</w:t>
      </w:r>
    </w:p>
    <w:p w14:paraId="65510FE5" w14:textId="2996FBBC" w:rsidR="00B76950" w:rsidRDefault="00B76950" w:rsidP="008B6CC6">
      <w:r>
        <w:tab/>
        <w:t>The kinetics of target-ligand interaction provide an additional dimension to the understanding of drug target</w:t>
      </w:r>
      <w:r w:rsidR="002968F4">
        <w:t xml:space="preserve"> function</w:t>
      </w:r>
      <w:r>
        <w:t xml:space="preserve"> and the optimization of novel therapeutics. This chapter enables the newcomer to quantify binding kinetics, specifically how to measure the rate constants for ligand association and dissociation. Analysis is straightforward for direct target-ligand binding assays. More advanced data analysis is required for indirect competition binding assays for quantifying binding kinetics of the large numbers of compounds encountered in modern drug discovery.</w:t>
      </w:r>
      <w:r w:rsidR="002968F4">
        <w:t xml:space="preserve"> This analysis, within the range of expertise of most investigators, is taught in easy-to-use </w:t>
      </w:r>
      <w:r>
        <w:t>step-by-step guides</w:t>
      </w:r>
      <w:r w:rsidR="002968F4">
        <w:t>, and aided by guidance on troubleshooting and data interpretation. More complex scenarios are introduced, including complex binding mechanisms and the measurement of binding kinetics in functional assays for enzymes and GPCRs.</w:t>
      </w:r>
      <w:r w:rsidR="00DD2C60">
        <w:t xml:space="preserve"> By describing how to quantify binding kinetics, this chapter will aid investigators in applying and evaluating the role of the temporal dimension of binding activity to their targets of interest.</w:t>
      </w:r>
    </w:p>
    <w:p w14:paraId="153765E2" w14:textId="21F20430" w:rsidR="00C45E0B" w:rsidRDefault="00D65B90" w:rsidP="00180634">
      <w:pPr>
        <w:pStyle w:val="Heading2"/>
      </w:pPr>
      <w:bookmarkStart w:id="24" w:name="_Appendix:_Equations_for"/>
      <w:bookmarkEnd w:id="24"/>
      <w:r>
        <w:t>Appendix: Equations for Binding Kinetic Data A</w:t>
      </w:r>
      <w:r w:rsidR="00167AB5">
        <w:t>nalysis</w:t>
      </w:r>
    </w:p>
    <w:p w14:paraId="23E9A11F" w14:textId="77777777" w:rsidR="00167AB5" w:rsidRDefault="00167AB5" w:rsidP="00167AB5">
      <w:pPr>
        <w:ind w:firstLine="720"/>
      </w:pPr>
    </w:p>
    <w:p w14:paraId="7087C362" w14:textId="7E16BFBE" w:rsidR="00167AB5" w:rsidRDefault="00167AB5" w:rsidP="00167AB5">
      <w:pPr>
        <w:ind w:firstLine="720"/>
      </w:pPr>
      <w:r>
        <w:t>The equations used to analyze the data are derived from first principles applied to the binding mechanism diagrams</w:t>
      </w:r>
      <w:r w:rsidR="0045544B">
        <w:t xml:space="preserve"> (</w:t>
      </w:r>
      <w:r w:rsidR="0045544B" w:rsidRPr="00536007">
        <w:rPr>
          <w:rStyle w:val="citebib"/>
        </w:rPr>
        <w:t>53</w:t>
      </w:r>
      <w:r w:rsidR="0045544B">
        <w:t>)</w:t>
      </w:r>
      <w:r>
        <w:t xml:space="preserve">. The equations define the concentration of target-ligand complex as a function of time. They are used to fit the time course data to </w:t>
      </w:r>
      <w:r w:rsidR="00321A6B">
        <w:t>estimate the rate constant values for the binding interaction.</w:t>
      </w:r>
      <w:r>
        <w:t xml:space="preserve"> In this section, the techniques for deriving the basic binding equations are presented, for the direct </w:t>
      </w:r>
      <w:r w:rsidR="0045544B">
        <w:t>target</w:t>
      </w:r>
      <w:r>
        <w:t>-ligand binding interactions</w:t>
      </w:r>
      <w:r w:rsidR="00524E2F">
        <w:t xml:space="preserve"> (See</w:t>
      </w:r>
      <w:r w:rsidR="00BB380B">
        <w:rPr>
          <w:rStyle w:val="Hyperlink"/>
        </w:rPr>
        <w:t xml:space="preserve"> </w:t>
      </w:r>
      <w:hyperlink w:anchor="_Equations_for_Direct" w:history="1">
        <w:r w:rsidR="00BB380B" w:rsidRPr="00BB380B">
          <w:rPr>
            <w:rStyle w:val="Hyperlink"/>
          </w:rPr>
          <w:t>Equations for Direct Target-Ligand Binding Kinetics Analysis</w:t>
        </w:r>
      </w:hyperlink>
      <w:r w:rsidR="00524E2F">
        <w:t>)</w:t>
      </w:r>
      <w:r>
        <w:t xml:space="preserve">. Next, the competition kinetics equation </w:t>
      </w:r>
      <w:r w:rsidR="002100A0">
        <w:t>is</w:t>
      </w:r>
      <w:r>
        <w:t xml:space="preserve"> presented, used for measuring unlabeled test compound binding kinetics in competition with a labeled tracer ligand</w:t>
      </w:r>
      <w:r w:rsidR="002100A0">
        <w:t xml:space="preserve"> (</w:t>
      </w:r>
      <w:r w:rsidR="006D7706">
        <w:t xml:space="preserve">see </w:t>
      </w:r>
      <w:hyperlink w:anchor="_Original_Competition_Kinetics" w:history="1">
        <w:r w:rsidR="006D7706" w:rsidRPr="006D7706">
          <w:rPr>
            <w:rStyle w:val="Hyperlink"/>
          </w:rPr>
          <w:t>Original Competition Kinetics Equation</w:t>
        </w:r>
      </w:hyperlink>
      <w:r w:rsidR="002100A0">
        <w:t>)</w:t>
      </w:r>
      <w:r>
        <w:t xml:space="preserve">. </w:t>
      </w:r>
      <w:r w:rsidR="002100A0">
        <w:t>This equation has been adapted to allow for rapid competitor dissociation (</w:t>
      </w:r>
      <w:r w:rsidR="006D7706">
        <w:t xml:space="preserve">See </w:t>
      </w:r>
      <w:hyperlink w:anchor="_Adaptation_for_Rapidly-Dissociating" w:history="1">
        <w:r w:rsidR="006D7706" w:rsidRPr="006D7706">
          <w:rPr>
            <w:rStyle w:val="Hyperlink"/>
          </w:rPr>
          <w:t>Adaptation for Rapidly-Dissociating Compounds</w:t>
        </w:r>
      </w:hyperlink>
      <w:r w:rsidR="002100A0">
        <w:t>), and for pre-incubation of target with compound (</w:t>
      </w:r>
      <w:hyperlink w:anchor="_Pre-incubating_with_Test" w:history="1">
        <w:r w:rsidR="006D7706" w:rsidRPr="006D7706">
          <w:rPr>
            <w:rStyle w:val="Hyperlink"/>
          </w:rPr>
          <w:t>Pre-incubating with Test Compound</w:t>
        </w:r>
      </w:hyperlink>
      <w:r w:rsidR="002100A0">
        <w:t xml:space="preserve">). Finally, an equation for analyzing data from the </w:t>
      </w:r>
      <w:hyperlink w:anchor="_Washout_Kinetics_Method" w:history="1">
        <w:r w:rsidR="002100A0" w:rsidRPr="00352772">
          <w:rPr>
            <w:rStyle w:val="Hyperlink"/>
          </w:rPr>
          <w:t>washout kinetics method</w:t>
        </w:r>
      </w:hyperlink>
      <w:r w:rsidR="00352772">
        <w:t xml:space="preserve"> is described</w:t>
      </w:r>
      <w:r w:rsidR="002100A0">
        <w:t xml:space="preserve">. </w:t>
      </w:r>
    </w:p>
    <w:p w14:paraId="15D4337C" w14:textId="08C7E674" w:rsidR="00167AB5" w:rsidRDefault="00167AB5" w:rsidP="00167AB5"/>
    <w:p w14:paraId="77E0B1C6" w14:textId="1EDFFFF2" w:rsidR="00167AB5" w:rsidRDefault="00D65B90" w:rsidP="00180634">
      <w:pPr>
        <w:pStyle w:val="Heading3"/>
      </w:pPr>
      <w:bookmarkStart w:id="25" w:name="_Equations_for_Direct"/>
      <w:bookmarkEnd w:id="25"/>
      <w:r w:rsidRPr="00D65B90">
        <w:t>Equations for Direct Target-Ligand Binding Kinetics Analysis</w:t>
      </w:r>
    </w:p>
    <w:p w14:paraId="6CD79A3E" w14:textId="77777777" w:rsidR="00B601C2" w:rsidRPr="00B601C2" w:rsidRDefault="00B601C2" w:rsidP="00B601C2"/>
    <w:p w14:paraId="3CEF92E1" w14:textId="7B9F691A" w:rsidR="00B601C2" w:rsidRPr="00B601C2" w:rsidRDefault="00D65B90" w:rsidP="00180634">
      <w:pPr>
        <w:pStyle w:val="Heading4"/>
      </w:pPr>
      <w:r>
        <w:t>Association Time Course E</w:t>
      </w:r>
      <w:r w:rsidR="00B601C2">
        <w:t>quation</w:t>
      </w:r>
    </w:p>
    <w:p w14:paraId="0814D493" w14:textId="4AE9A4DD" w:rsidR="00321A6B" w:rsidRDefault="00321A6B" w:rsidP="00167AB5">
      <w:r>
        <w:tab/>
        <w:t>The mechanism for the basic target-ligand interaction is:</w:t>
      </w:r>
    </w:p>
    <w:p w14:paraId="0066927F" w14:textId="77777777" w:rsidR="008A53FC" w:rsidRDefault="008A53FC" w:rsidP="00167AB5"/>
    <w:p w14:paraId="015265EB" w14:textId="4A0D3085" w:rsidR="00321A6B" w:rsidRDefault="00C119F5" w:rsidP="0042324D">
      <w:pPr>
        <w:pStyle w:val="Equation"/>
      </w:pPr>
      <w:r>
        <w:rPr>
          <w:noProof/>
        </w:rPr>
        <w:drawing>
          <wp:inline distT="0" distB="0" distL="0" distR="0" wp14:anchorId="770B4BC9" wp14:editId="75B1AA07">
            <wp:extent cx="1392936" cy="585216"/>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heme 1 pages 3 and 34_10pc300dpi.jpg"/>
                    <pic:cNvPicPr/>
                  </pic:nvPicPr>
                  <pic:blipFill>
                    <a:blip r:embed="rId14">
                      <a:extLst>
                        <a:ext uri="{28A0092B-C50C-407E-A947-70E740481C1C}">
                          <a14:useLocalDpi xmlns:a14="http://schemas.microsoft.com/office/drawing/2010/main" val="0"/>
                        </a:ext>
                      </a:extLst>
                    </a:blip>
                    <a:stretch>
                      <a:fillRect/>
                    </a:stretch>
                  </pic:blipFill>
                  <pic:spPr>
                    <a:xfrm>
                      <a:off x="0" y="0"/>
                      <a:ext cx="1392936" cy="585216"/>
                    </a:xfrm>
                    <a:prstGeom prst="rect">
                      <a:avLst/>
                    </a:prstGeom>
                  </pic:spPr>
                </pic:pic>
              </a:graphicData>
            </a:graphic>
          </wp:inline>
        </w:drawing>
      </w:r>
    </w:p>
    <w:p w14:paraId="46552141" w14:textId="77777777" w:rsidR="008A53FC" w:rsidRDefault="008A53FC" w:rsidP="008A53FC">
      <w:pPr>
        <w:jc w:val="center"/>
      </w:pPr>
    </w:p>
    <w:p w14:paraId="60D6A4BD" w14:textId="4FDA3895" w:rsidR="008A53FC" w:rsidRPr="008A53FC" w:rsidRDefault="008A53FC" w:rsidP="008A53FC">
      <w:pPr>
        <w:jc w:val="center"/>
        <w:rPr>
          <w:b/>
          <w:bCs/>
        </w:rPr>
      </w:pPr>
      <w:r w:rsidRPr="008A53FC">
        <w:rPr>
          <w:b/>
          <w:bCs/>
        </w:rPr>
        <w:t>Scheme 1</w:t>
      </w:r>
    </w:p>
    <w:p w14:paraId="11C0662E" w14:textId="77777777" w:rsidR="008F25AB" w:rsidRDefault="008F25AB" w:rsidP="00167AB5"/>
    <w:p w14:paraId="70114958" w14:textId="00260C47" w:rsidR="00167AB5" w:rsidRDefault="00321A6B" w:rsidP="00167AB5">
      <w:r>
        <w:t>This mechanism is a single-site</w:t>
      </w:r>
      <w:r w:rsidR="007D374E">
        <w:t xml:space="preserve">, single-step </w:t>
      </w:r>
      <w:r>
        <w:t>reversible binding interaction between ligand L and target R</w:t>
      </w:r>
      <w:r w:rsidR="007D374E">
        <w:t>. The binding kinetics are defined</w:t>
      </w:r>
      <w:r w:rsidR="00215A51">
        <w:t xml:space="preserve"> by the association rate constant </w:t>
      </w:r>
      <w:r w:rsidR="00431CB2" w:rsidRPr="001503F1">
        <w:rPr>
          <w:i/>
          <w:iCs/>
        </w:rPr>
        <w:t>k</w:t>
      </w:r>
      <w:r w:rsidR="00431CB2" w:rsidRPr="001503F1">
        <w:rPr>
          <w:vertAlign w:val="subscript"/>
        </w:rPr>
        <w:t>1</w:t>
      </w:r>
      <w:r w:rsidR="00215A51">
        <w:t xml:space="preserve"> and dissociation rate constant </w:t>
      </w:r>
      <w:proofErr w:type="gramStart"/>
      <w:r w:rsidR="006B589F">
        <w:rPr>
          <w:i/>
          <w:iCs/>
        </w:rPr>
        <w:t>k</w:t>
      </w:r>
      <w:r w:rsidR="006B589F" w:rsidRPr="006B589F">
        <w:rPr>
          <w:vertAlign w:val="subscript"/>
        </w:rPr>
        <w:t>2</w:t>
      </w:r>
      <w:proofErr w:type="gramEnd"/>
      <w:r w:rsidR="00215A51">
        <w:t>. The equation derivation is for conditions of minimal ligand depletion, meaning the bound concentration is much less than the total concentration of ligand across the time course (&lt; 20%, ideally &lt; 10% (“Zone A”)). (</w:t>
      </w:r>
      <w:r w:rsidR="002100A0">
        <w:t>For</w:t>
      </w:r>
      <w:r w:rsidR="00215A51">
        <w:t xml:space="preserve"> ligand depletion conditions</w:t>
      </w:r>
      <w:r w:rsidR="002100A0">
        <w:t xml:space="preserve">, use Eq. 11 of ref. </w:t>
      </w:r>
      <w:r w:rsidR="00D42632">
        <w:t>(40)</w:t>
      </w:r>
      <w:r w:rsidR="002100A0">
        <w:t xml:space="preserve">.) </w:t>
      </w:r>
    </w:p>
    <w:p w14:paraId="56E25831" w14:textId="4EAEF569" w:rsidR="00C86693" w:rsidRDefault="00215A51" w:rsidP="00167AB5">
      <w:r>
        <w:tab/>
        <w:t xml:space="preserve">The goal is an equation that defines the concentration of </w:t>
      </w:r>
      <w:r w:rsidR="00FC70D1">
        <w:t>target-ligand</w:t>
      </w:r>
      <w:r>
        <w:t xml:space="preserve"> complex (</w:t>
      </w:r>
      <m:oMath>
        <m:r>
          <w:rPr>
            <w:rFonts w:ascii="Cambria Math" w:hAnsi="Cambria Math"/>
          </w:rPr>
          <m:t>[</m:t>
        </m:r>
        <m:r>
          <m:rPr>
            <m:sty m:val="p"/>
          </m:rPr>
          <w:rPr>
            <w:rFonts w:ascii="Cambria Math" w:hAnsi="Cambria Math"/>
          </w:rPr>
          <m:t>RL</m:t>
        </m:r>
        <m:r>
          <w:rPr>
            <w:rFonts w:ascii="Cambria Math" w:hAnsi="Cambria Math"/>
          </w:rPr>
          <m:t>]</m:t>
        </m:r>
      </m:oMath>
      <w:r>
        <w:t>) as a function of time (</w:t>
      </w:r>
      <w:r w:rsidRPr="002100A0">
        <w:rPr>
          <w:i/>
          <w:iCs/>
        </w:rPr>
        <w:t>t</w:t>
      </w:r>
      <w:r>
        <w:t>) and the mechanism parameters of interest (</w:t>
      </w:r>
      <w:r w:rsidR="00431CB2" w:rsidRPr="001503F1">
        <w:rPr>
          <w:i/>
          <w:iCs/>
        </w:rPr>
        <w:t>k</w:t>
      </w:r>
      <w:r w:rsidR="00431CB2" w:rsidRPr="001503F1">
        <w:rPr>
          <w:vertAlign w:val="subscript"/>
        </w:rPr>
        <w:t>1</w:t>
      </w:r>
      <w:r>
        <w:t xml:space="preserve"> and </w:t>
      </w:r>
      <w:proofErr w:type="gramStart"/>
      <w:r w:rsidR="006B589F">
        <w:rPr>
          <w:i/>
          <w:iCs/>
        </w:rPr>
        <w:t>k</w:t>
      </w:r>
      <w:r w:rsidR="006B589F" w:rsidRPr="006B589F">
        <w:rPr>
          <w:vertAlign w:val="subscript"/>
        </w:rPr>
        <w:t>2</w:t>
      </w:r>
      <w:proofErr w:type="gramEnd"/>
      <w:r>
        <w:t>).</w:t>
      </w:r>
      <w:r w:rsidR="0022100D">
        <w:t xml:space="preserve"> We start by writing equations that describe the rate of formation and the rate of breakdown of the target-ligand complex.</w:t>
      </w:r>
      <w:r>
        <w:t xml:space="preserve"> </w:t>
      </w:r>
      <w:r w:rsidR="00C86693">
        <w:t>From first principles, the rate of formation is the product of the</w:t>
      </w:r>
      <w:r w:rsidR="006D29CA">
        <w:t xml:space="preserve"> free</w:t>
      </w:r>
      <w:r w:rsidR="00C86693">
        <w:t xml:space="preserve"> ligand concentration, </w:t>
      </w:r>
      <w:r w:rsidR="006D29CA">
        <w:t xml:space="preserve">free </w:t>
      </w:r>
      <w:r w:rsidR="00C86693">
        <w:t>target concentration and the association rate constant:</w:t>
      </w:r>
    </w:p>
    <w:p w14:paraId="18790BF7" w14:textId="77777777" w:rsidR="00C86693" w:rsidRDefault="00C86693" w:rsidP="00167AB5"/>
    <w:p w14:paraId="18561F8E" w14:textId="40D51D42" w:rsidR="00C86693" w:rsidRPr="00C86693" w:rsidRDefault="00C86693" w:rsidP="00BE01EC">
      <w:pPr>
        <w:pStyle w:val="Equation"/>
      </w:pPr>
      <m:oMathPara>
        <m:oMath>
          <m:r>
            <m:rPr>
              <m:sty m:val="p"/>
            </m:rPr>
            <w:rPr>
              <w:rFonts w:ascii="Cambria Math" w:hAnsi="Cambria Math"/>
            </w:rPr>
            <m:t>Rate of formation</m:t>
          </m:r>
          <m:r>
            <w:rPr>
              <w:rFonts w:ascii="Cambria Math" w:hAnsi="Cambria Math"/>
            </w:rPr>
            <m:t>=[</m:t>
          </m:r>
          <m:r>
            <m:rPr>
              <m:sty m:val="p"/>
            </m:rPr>
            <w:rPr>
              <w:rFonts w:ascii="Cambria Math" w:hAnsi="Cambria Math"/>
            </w:rPr>
            <m:t>R</m:t>
          </m:r>
          <m:r>
            <w:rPr>
              <w:rFonts w:ascii="Cambria Math" w:hAnsi="Cambria Math"/>
            </w:rPr>
            <m:t>]</m:t>
          </m:r>
          <m:d>
            <m:dPr>
              <m:begChr m:val="["/>
              <m:endChr m:val="]"/>
              <m:ctrlPr>
                <w:rPr>
                  <w:rFonts w:ascii="Cambria Math" w:hAnsi="Cambria Math"/>
                  <w:i/>
                </w:rPr>
              </m:ctrlPr>
            </m:dPr>
            <m:e>
              <m:r>
                <m:rPr>
                  <m:sty m:val="p"/>
                </m:rPr>
                <w:rPr>
                  <w:rFonts w:ascii="Cambria Math" w:hAnsi="Cambria Math"/>
                </w:rPr>
                <m:t>L</m:t>
              </m:r>
            </m:e>
          </m:d>
          <m:sSub>
            <m:sSubPr>
              <m:ctrlPr>
                <w:rPr>
                  <w:rFonts w:ascii="Cambria Math" w:hAnsi="Cambria Math"/>
                  <w:i/>
                </w:rPr>
              </m:ctrlPr>
            </m:sSubPr>
            <m:e>
              <m:r>
                <w:rPr>
                  <w:rFonts w:ascii="Cambria Math" w:hAnsi="Cambria Math"/>
                </w:rPr>
                <m:t>k</m:t>
              </m:r>
            </m:e>
            <m:sub>
              <m:r>
                <w:rPr>
                  <w:rFonts w:ascii="Cambria Math" w:hAnsi="Cambria Math"/>
                </w:rPr>
                <m:t>1</m:t>
              </m:r>
            </m:sub>
          </m:sSub>
        </m:oMath>
      </m:oMathPara>
    </w:p>
    <w:p w14:paraId="286DEA4C" w14:textId="77777777" w:rsidR="00C86693" w:rsidRDefault="00C86693" w:rsidP="00167AB5"/>
    <w:p w14:paraId="0EF7B33F" w14:textId="50860147" w:rsidR="00C86693" w:rsidRDefault="0022100D" w:rsidP="00167AB5">
      <w:r>
        <w:t>T</w:t>
      </w:r>
      <w:r w:rsidR="00C86693">
        <w:t>he rate of breakdown is the product of the target-ligand complex concentration and the dissociation rate constant:</w:t>
      </w:r>
    </w:p>
    <w:p w14:paraId="3C892921" w14:textId="3402C88C" w:rsidR="00C86693" w:rsidRPr="00C86693" w:rsidRDefault="00C86693" w:rsidP="00BE01EC">
      <w:pPr>
        <w:pStyle w:val="Equation"/>
      </w:pPr>
      <m:oMathPara>
        <m:oMath>
          <m:r>
            <m:rPr>
              <m:sty m:val="p"/>
            </m:rPr>
            <w:rPr>
              <w:rFonts w:ascii="Cambria Math" w:hAnsi="Cambria Math"/>
            </w:rPr>
            <m:t>Rate of breakdown</m:t>
          </m:r>
          <m:r>
            <w:rPr>
              <w:rFonts w:ascii="Cambria Math" w:hAnsi="Cambria Math"/>
            </w:rPr>
            <m:t>=[</m:t>
          </m:r>
          <m:r>
            <m:rPr>
              <m:sty m:val="p"/>
            </m:rPr>
            <w:rPr>
              <w:rFonts w:ascii="Cambria Math" w:hAnsi="Cambria Math"/>
            </w:rPr>
            <m:t>RL</m:t>
          </m:r>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2</m:t>
              </m:r>
            </m:sub>
          </m:sSub>
        </m:oMath>
      </m:oMathPara>
    </w:p>
    <w:p w14:paraId="3068E58E" w14:textId="77777777" w:rsidR="00C86693" w:rsidRDefault="00C86693" w:rsidP="00167AB5"/>
    <w:p w14:paraId="6745EB70" w14:textId="14B2D3E1" w:rsidR="00C86693" w:rsidRDefault="0022100D" w:rsidP="00167AB5">
      <w:r>
        <w:t>The next step is to write the equation that defines the rate of change of the target-ligand complex concentration over time, after target and ligand are mixed together.</w:t>
      </w:r>
      <w:r w:rsidR="00C86693">
        <w:t xml:space="preserve"> This is a differential equation</w:t>
      </w:r>
      <w:r>
        <w:t xml:space="preserve">. The </w:t>
      </w:r>
      <w:r>
        <w:lastRenderedPageBreak/>
        <w:t xml:space="preserve">rate of change, </w:t>
      </w:r>
      <m:oMath>
        <m:f>
          <m:fPr>
            <m:type m:val="lin"/>
            <m:ctrlPr>
              <w:rPr>
                <w:rFonts w:ascii="Cambria Math" w:hAnsi="Cambria Math"/>
                <w:i/>
              </w:rPr>
            </m:ctrlPr>
          </m:fPr>
          <m:num>
            <m:r>
              <w:rPr>
                <w:rFonts w:ascii="Cambria Math" w:hAnsi="Cambria Math"/>
              </w:rPr>
              <m:t>d[</m:t>
            </m:r>
            <m:r>
              <m:rPr>
                <m:sty m:val="p"/>
              </m:rPr>
              <w:rPr>
                <w:rFonts w:ascii="Cambria Math" w:hAnsi="Cambria Math"/>
              </w:rPr>
              <m:t>RL</m:t>
            </m:r>
            <m:r>
              <w:rPr>
                <w:rFonts w:ascii="Cambria Math" w:hAnsi="Cambria Math"/>
              </w:rPr>
              <m:t>]</m:t>
            </m:r>
          </m:num>
          <m:den>
            <m:r>
              <w:rPr>
                <w:rFonts w:ascii="Cambria Math" w:hAnsi="Cambria Math"/>
              </w:rPr>
              <m:t>dt</m:t>
            </m:r>
          </m:den>
        </m:f>
      </m:oMath>
      <w:r>
        <w:t xml:space="preserve"> is equal to the rate of formation minus the rate of breakdown, giving the equation</w:t>
      </w:r>
    </w:p>
    <w:p w14:paraId="089CF4B3" w14:textId="0864275C" w:rsidR="00C86693" w:rsidRDefault="00C86693" w:rsidP="00167AB5"/>
    <w:p w14:paraId="0546ADF9" w14:textId="6E0DDE32" w:rsidR="00C86693" w:rsidRDefault="00CF1AF2" w:rsidP="00BE01EC">
      <w:pPr>
        <w:pStyle w:val="Equation"/>
      </w:pPr>
      <m:oMathPara>
        <m:oMath>
          <m:f>
            <m:fPr>
              <m:ctrlPr>
                <w:rPr>
                  <w:rFonts w:ascii="Cambria Math" w:hAnsi="Cambria Math"/>
                </w:rPr>
              </m:ctrlPr>
            </m:fPr>
            <m:num>
              <m:r>
                <w:rPr>
                  <w:rFonts w:ascii="Cambria Math" w:hAnsi="Cambria Math"/>
                </w:rPr>
                <m:t>d</m:t>
              </m:r>
              <m:r>
                <m:rPr>
                  <m:sty m:val="p"/>
                </m:rPr>
                <w:rPr>
                  <w:rFonts w:ascii="Cambria Math" w:hAnsi="Cambria Math"/>
                </w:rPr>
                <m:t>[RL]</m:t>
              </m:r>
            </m:num>
            <m:den>
              <m:r>
                <w:rPr>
                  <w:rFonts w:ascii="Cambria Math" w:hAnsi="Cambria Math"/>
                </w:rPr>
                <m:t>dt</m:t>
              </m:r>
            </m:den>
          </m:f>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R</m:t>
              </m:r>
            </m:e>
          </m:d>
          <m:d>
            <m:dPr>
              <m:begChr m:val="["/>
              <m:endChr m:val="]"/>
              <m:ctrlPr>
                <w:rPr>
                  <w:rFonts w:ascii="Cambria Math" w:hAnsi="Cambria Math"/>
                </w:rPr>
              </m:ctrlPr>
            </m:dPr>
            <m:e>
              <m:r>
                <m:rPr>
                  <m:sty m:val="p"/>
                </m:rPr>
                <w:rPr>
                  <w:rFonts w:ascii="Cambria Math" w:hAnsi="Cambria Math"/>
                </w:rPr>
                <m:t>L</m:t>
              </m:r>
            </m:e>
          </m:d>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RL</m:t>
              </m:r>
            </m:e>
          </m:d>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329D39C3" w14:textId="0CA69D3C" w:rsidR="00C45E0B" w:rsidRDefault="00C45E0B" w:rsidP="00C45E0B"/>
    <w:p w14:paraId="161BDB84" w14:textId="36BF08CC" w:rsidR="00A41649" w:rsidRDefault="006D29CA">
      <w:r>
        <w:t xml:space="preserve">This equation contains two time-dependent terms, [RL] (the </w:t>
      </w:r>
      <w:r w:rsidR="0022100D">
        <w:t>species we are measuring, the y axis value of the time course</w:t>
      </w:r>
      <w:r>
        <w:t>) and</w:t>
      </w:r>
      <w:r w:rsidR="002100A0">
        <w:t xml:space="preserve"> [R]</w:t>
      </w:r>
      <w:r>
        <w:t>. Note that</w:t>
      </w:r>
      <w:r w:rsidR="002100A0">
        <w:t xml:space="preserve"> [L]</w:t>
      </w:r>
      <w:r>
        <w:t>, the free ligand concentration, is constant over time because it is not depleted by formation of [RL]. The derivation proceeds by removing the second time-dependent term</w:t>
      </w:r>
      <w:r w:rsidR="002100A0">
        <w:t xml:space="preserve"> [R]</w:t>
      </w:r>
      <w:r>
        <w:t xml:space="preserve">. This is done using a common mathematical </w:t>
      </w:r>
      <w:r w:rsidR="00A41649">
        <w:t>maneuver in pharmacology</w:t>
      </w:r>
      <w:r w:rsidR="005A64A6">
        <w:t xml:space="preserve"> and enzymology</w:t>
      </w:r>
      <w:r w:rsidR="00A41649">
        <w:t xml:space="preserve">, the conservation of mass equation. This simply expresses the </w:t>
      </w:r>
      <w:r w:rsidR="00C23549">
        <w:t>target</w:t>
      </w:r>
      <w:r w:rsidR="00A41649">
        <w:t xml:space="preserve"> </w:t>
      </w:r>
      <w:r w:rsidR="0022100D">
        <w:t>species</w:t>
      </w:r>
      <w:r w:rsidR="00A41649">
        <w:t xml:space="preserve"> in the system as a function of a constant, the total concentration of </w:t>
      </w:r>
      <w:r w:rsidR="00C23549">
        <w:t>targets</w:t>
      </w:r>
      <w:r w:rsidR="0022100D">
        <w:t>,</w:t>
      </w:r>
      <w:r w:rsidR="002100A0">
        <w:t xml:space="preserve"> [R</w:t>
      </w:r>
      <w:proofErr w:type="gramStart"/>
      <w:r w:rsidR="002100A0">
        <w:t>]</w:t>
      </w:r>
      <w:r w:rsidR="002100A0">
        <w:rPr>
          <w:vertAlign w:val="subscript"/>
        </w:rPr>
        <w:t>TOT</w:t>
      </w:r>
      <w:proofErr w:type="gramEnd"/>
      <w:r w:rsidR="00A41649">
        <w:t>. Specifically,</w:t>
      </w:r>
    </w:p>
    <w:p w14:paraId="479D84B0" w14:textId="77777777" w:rsidR="0022100D" w:rsidRDefault="0022100D"/>
    <w:p w14:paraId="050D344C" w14:textId="1DFFFEEB" w:rsidR="008F5EB2" w:rsidRPr="002100A0" w:rsidRDefault="00CF1AF2" w:rsidP="00BE01EC">
      <w:pPr>
        <w:pStyle w:val="Equation"/>
        <w:rPr>
          <w:iCs/>
        </w:rPr>
      </w:pPr>
      <m:oMathPara>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rPr>
                <m:t>TOT</m:t>
              </m:r>
            </m:sub>
          </m:sSub>
          <m:r>
            <m:rPr>
              <m:sty m:val="p"/>
            </m:rPr>
            <w:rPr>
              <w:rFonts w:ascii="Cambria Math" w:hAnsi="Cambria Math"/>
            </w:rPr>
            <m:t>=</m:t>
          </m:r>
          <m:d>
            <m:dPr>
              <m:begChr m:val="["/>
              <m:endChr m:val="]"/>
              <m:ctrlPr>
                <w:rPr>
                  <w:rFonts w:ascii="Cambria Math" w:hAnsi="Cambria Math"/>
                  <w:iCs/>
                </w:rPr>
              </m:ctrlPr>
            </m:dPr>
            <m:e>
              <m:r>
                <m:rPr>
                  <m:sty m:val="p"/>
                </m:rPr>
                <w:rPr>
                  <w:rFonts w:ascii="Cambria Math" w:hAnsi="Cambria Math"/>
                </w:rPr>
                <m:t>R</m:t>
              </m:r>
            </m:e>
          </m:d>
          <m:r>
            <m:rPr>
              <m:sty m:val="p"/>
            </m:rPr>
            <w:rPr>
              <w:rFonts w:ascii="Cambria Math" w:hAnsi="Cambria Math"/>
            </w:rPr>
            <m:t>+[RL]</m:t>
          </m:r>
        </m:oMath>
      </m:oMathPara>
    </w:p>
    <w:p w14:paraId="44D798F6" w14:textId="1E13DCDA" w:rsidR="0022100D" w:rsidRDefault="0022100D"/>
    <w:p w14:paraId="7B0C559B" w14:textId="41DE0C54" w:rsidR="0022100D" w:rsidRDefault="0022100D">
      <w:r>
        <w:t>Note that</w:t>
      </w:r>
      <w:r w:rsidR="002100A0">
        <w:t xml:space="preserve"> [R</w:t>
      </w:r>
      <w:proofErr w:type="gramStart"/>
      <w:r w:rsidR="002100A0">
        <w:t>]</w:t>
      </w:r>
      <w:r w:rsidR="002100A0">
        <w:rPr>
          <w:vertAlign w:val="subscript"/>
        </w:rPr>
        <w:t>TOT</w:t>
      </w:r>
      <w:proofErr w:type="gramEnd"/>
      <w:r>
        <w:t xml:space="preserve"> is constant over time. </w:t>
      </w:r>
      <w:r w:rsidR="002100A0">
        <w:t>[R]</w:t>
      </w:r>
      <w:r>
        <w:t xml:space="preserve"> </w:t>
      </w:r>
      <w:proofErr w:type="gramStart"/>
      <w:r>
        <w:t>is</w:t>
      </w:r>
      <w:proofErr w:type="gramEnd"/>
      <w:r>
        <w:t xml:space="preserve"> now expressed in terms of </w:t>
      </w:r>
      <w:r w:rsidR="002100A0">
        <w:t>[R]</w:t>
      </w:r>
      <w:r w:rsidR="002100A0">
        <w:rPr>
          <w:vertAlign w:val="subscript"/>
        </w:rPr>
        <w:t>TOT</w:t>
      </w:r>
      <w:r>
        <w:t xml:space="preserve"> and</w:t>
      </w:r>
      <w:r w:rsidR="002100A0">
        <w:t xml:space="preserve"> [RL]</w:t>
      </w:r>
      <w:r w:rsidR="00E9025E">
        <w:t xml:space="preserve"> by re</w:t>
      </w:r>
      <w:r>
        <w:t>arranging the conservation of mass equation:</w:t>
      </w:r>
    </w:p>
    <w:p w14:paraId="6E86F8CD" w14:textId="77777777" w:rsidR="005A64A6" w:rsidRDefault="005A64A6"/>
    <w:p w14:paraId="28C081C4" w14:textId="56A9B405" w:rsidR="0022100D" w:rsidRPr="002100A0" w:rsidRDefault="00CF1AF2" w:rsidP="00BE01EC">
      <w:pPr>
        <w:pStyle w:val="Equation"/>
        <w:rPr>
          <w:iCs/>
        </w:rPr>
      </w:pPr>
      <m:oMathPara>
        <m:oMath>
          <m:d>
            <m:dPr>
              <m:begChr m:val="["/>
              <m:endChr m:val="]"/>
              <m:ctrlPr>
                <w:rPr>
                  <w:rFonts w:ascii="Cambria Math" w:hAnsi="Cambria Math"/>
                  <w:iCs/>
                </w:rPr>
              </m:ctrlPr>
            </m:dPr>
            <m:e>
              <m:r>
                <m:rPr>
                  <m:sty m:val="p"/>
                </m:rPr>
                <w:rPr>
                  <w:rFonts w:ascii="Cambria Math" w:hAnsi="Cambria Math"/>
                </w:rPr>
                <m:t>R</m:t>
              </m:r>
            </m:e>
          </m:d>
          <m:r>
            <m:rPr>
              <m:sty m:val="p"/>
            </m:rPr>
            <w:rPr>
              <w:rFonts w:ascii="Cambria Math" w:hAnsi="Cambria Math"/>
            </w:rPr>
            <m:t>=</m:t>
          </m:r>
          <m:sSub>
            <m:sSubPr>
              <m:ctrlPr>
                <w:rPr>
                  <w:rFonts w:ascii="Cambria Math" w:hAnsi="Cambria Math"/>
                  <w:iCs/>
                </w:rPr>
              </m:ctrlPr>
            </m:sSubPr>
            <m:e>
              <m:r>
                <m:rPr>
                  <m:sty m:val="p"/>
                </m:rPr>
                <w:rPr>
                  <w:rFonts w:ascii="Cambria Math" w:hAnsi="Cambria Math"/>
                </w:rPr>
                <m:t>[R]</m:t>
              </m:r>
            </m:e>
            <m:sub>
              <m:r>
                <m:rPr>
                  <m:sty m:val="p"/>
                </m:rPr>
                <w:rPr>
                  <w:rFonts w:ascii="Cambria Math" w:hAnsi="Cambria Math"/>
                </w:rPr>
                <m:t>TOT</m:t>
              </m:r>
            </m:sub>
          </m:sSub>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RL</m:t>
              </m:r>
            </m:e>
          </m:d>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31708048" w14:textId="66F1243F" w:rsidR="003701BE" w:rsidRDefault="00C23549">
      <w:r>
        <w:softHyphen/>
      </w:r>
    </w:p>
    <w:p w14:paraId="31104659" w14:textId="0D4BD67F" w:rsidR="00187B96" w:rsidRDefault="00187B96">
      <w:r>
        <w:t xml:space="preserve">In the context of a binding assay, it is convenient to express </w:t>
      </w:r>
      <w:r w:rsidR="002100A0">
        <w:t>[R</w:t>
      </w:r>
      <w:proofErr w:type="gramStart"/>
      <w:r w:rsidR="002100A0">
        <w:t>]</w:t>
      </w:r>
      <w:r w:rsidR="002100A0">
        <w:rPr>
          <w:vertAlign w:val="subscript"/>
        </w:rPr>
        <w:t>TOT</w:t>
      </w:r>
      <w:proofErr w:type="gramEnd"/>
      <w:r>
        <w:t xml:space="preserve"> in terms of the total number of binding sites for the ligand, termed</w:t>
      </w:r>
      <w:r w:rsidR="00C94B94">
        <w:t xml:space="preserve"> </w:t>
      </w:r>
      <w:proofErr w:type="spellStart"/>
      <w:r w:rsidR="00C94B94">
        <w:t>B</w:t>
      </w:r>
      <w:r w:rsidR="00C94B94">
        <w:rPr>
          <w:vertAlign w:val="subscript"/>
        </w:rPr>
        <w:t>max</w:t>
      </w:r>
      <w:proofErr w:type="spellEnd"/>
      <w:r>
        <w:t xml:space="preserve">. </w:t>
      </w:r>
      <w:proofErr w:type="spellStart"/>
      <w:r w:rsidR="00C94B94">
        <w:t>B</w:t>
      </w:r>
      <w:r w:rsidR="00C94B94">
        <w:rPr>
          <w:vertAlign w:val="subscript"/>
        </w:rPr>
        <w:t>max</w:t>
      </w:r>
      <w:proofErr w:type="spellEnd"/>
      <w:r w:rsidR="00C94B94">
        <w:t xml:space="preserve"> </w:t>
      </w:r>
      <w:r>
        <w:t xml:space="preserve">is equal to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rPr>
              <m:t>TOT</m:t>
            </m:r>
          </m:sub>
        </m:sSub>
      </m:oMath>
      <w:r>
        <w:t xml:space="preserve"> for targets with a single binding site, so we can write,</w:t>
      </w:r>
    </w:p>
    <w:p w14:paraId="2D81F71F" w14:textId="076DFC7B" w:rsidR="00187B96" w:rsidRDefault="00187B96">
      <w:r>
        <w:t xml:space="preserve"> </w:t>
      </w:r>
    </w:p>
    <w:p w14:paraId="21E92027" w14:textId="1AD62A3A" w:rsidR="00187B96" w:rsidRPr="00C94B94" w:rsidRDefault="00CF1AF2" w:rsidP="00BE01EC">
      <w:pPr>
        <w:pStyle w:val="Equation"/>
        <w:rPr>
          <w:iCs/>
        </w:rPr>
      </w:pPr>
      <m:oMathPara>
        <m:oMath>
          <m:d>
            <m:dPr>
              <m:begChr m:val="["/>
              <m:endChr m:val="]"/>
              <m:ctrlPr>
                <w:rPr>
                  <w:rFonts w:ascii="Cambria Math" w:hAnsi="Cambria Math"/>
                  <w:iCs/>
                </w:rPr>
              </m:ctrlPr>
            </m:dPr>
            <m:e>
              <m:r>
                <m:rPr>
                  <m:sty m:val="p"/>
                </m:rPr>
                <w:rPr>
                  <w:rFonts w:ascii="Cambria Math" w:hAnsi="Cambria Math"/>
                </w:rPr>
                <m:t>R</m:t>
              </m:r>
            </m:e>
          </m:d>
          <m:r>
            <m:rPr>
              <m:sty m:val="p"/>
            </m:rPr>
            <w:rPr>
              <w:rFonts w:ascii="Cambria Math" w:hAnsi="Cambria Math"/>
            </w:rPr>
            <m:t>=</m:t>
          </m:r>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max</m:t>
              </m:r>
            </m:sub>
          </m:sSub>
          <m:r>
            <m:rPr>
              <m:sty m:val="p"/>
            </m:rPr>
            <w:rPr>
              <w:rFonts w:ascii="Cambria Math" w:hAnsi="Cambria Math"/>
            </w:rPr>
            <m:t>-[RL]</m:t>
          </m:r>
        </m:oMath>
      </m:oMathPara>
    </w:p>
    <w:p w14:paraId="217BB55B" w14:textId="77777777" w:rsidR="00187B96" w:rsidRPr="0022100D" w:rsidRDefault="00187B96"/>
    <w:p w14:paraId="09725999" w14:textId="1DA51242" w:rsidR="0022100D" w:rsidRDefault="005A64A6">
      <w:r>
        <w:t xml:space="preserve">We now substitute </w:t>
      </w:r>
      <w:r w:rsidR="00C94B94">
        <w:t>[R]</w:t>
      </w:r>
      <w:r>
        <w:t xml:space="preserve"> in the differential equation with </w:t>
      </w:r>
      <w:proofErr w:type="spellStart"/>
      <w:r w:rsidR="00C94B94">
        <w:t>B</w:t>
      </w:r>
      <w:r w:rsidR="00C94B94">
        <w:rPr>
          <w:vertAlign w:val="subscript"/>
        </w:rPr>
        <w:t>max</w:t>
      </w:r>
      <w:proofErr w:type="spellEnd"/>
      <w:r w:rsidR="00C94B94">
        <w:t xml:space="preserve"> – [RL]</w:t>
      </w:r>
      <w:r>
        <w:t>:</w:t>
      </w:r>
    </w:p>
    <w:p w14:paraId="6CAB6BB1" w14:textId="35460993" w:rsidR="005A64A6" w:rsidRDefault="005A64A6"/>
    <w:p w14:paraId="61882430" w14:textId="626FDEE9" w:rsidR="005A64A6" w:rsidRPr="005A64A6" w:rsidRDefault="00CF1AF2" w:rsidP="00BE01EC">
      <w:pPr>
        <w:pStyle w:val="Equation"/>
      </w:pPr>
      <m:oMathPara>
        <m:oMath>
          <m:f>
            <m:fPr>
              <m:ctrlPr>
                <w:rPr>
                  <w:rFonts w:ascii="Cambria Math" w:hAnsi="Cambria Math"/>
                  <w:i/>
                  <w:highlight w:val="yellow"/>
                </w:rPr>
              </m:ctrlPr>
            </m:fPr>
            <m:num>
              <m:r>
                <w:rPr>
                  <w:rFonts w:ascii="Cambria Math" w:hAnsi="Cambria Math"/>
                  <w:highlight w:val="yellow"/>
                </w:rPr>
                <m:t>d</m:t>
              </m:r>
              <m:d>
                <m:dPr>
                  <m:begChr m:val="["/>
                  <m:endChr m:val="]"/>
                  <m:ctrlPr>
                    <w:rPr>
                      <w:rFonts w:ascii="Cambria Math" w:hAnsi="Cambria Math"/>
                      <w:highlight w:val="yellow"/>
                    </w:rPr>
                  </m:ctrlPr>
                </m:dPr>
                <m:e>
                  <m:r>
                    <m:rPr>
                      <m:sty m:val="p"/>
                    </m:rPr>
                    <w:rPr>
                      <w:rFonts w:ascii="Cambria Math" w:hAnsi="Cambria Math"/>
                      <w:highlight w:val="yellow"/>
                    </w:rPr>
                    <m:t>RL</m:t>
                  </m:r>
                </m:e>
              </m:d>
            </m:num>
            <m:den>
              <m:r>
                <w:rPr>
                  <w:rFonts w:ascii="Cambria Math" w:hAnsi="Cambria Math"/>
                  <w:highlight w:val="yellow"/>
                </w:rPr>
                <m:t>dt</m:t>
              </m:r>
            </m:den>
          </m:f>
          <m:r>
            <w:rPr>
              <w:rFonts w:ascii="Cambria Math" w:hAnsi="Cambria Math"/>
              <w:highlight w:val="yellow"/>
            </w:rPr>
            <m:t>=</m:t>
          </m:r>
          <m:r>
            <m:rPr>
              <m:sty m:val="p"/>
            </m:rPr>
            <w:rPr>
              <w:rFonts w:ascii="Cambria Math" w:eastAsiaTheme="minorEastAsia" w:hAnsi="Cambria Math"/>
              <w:highlight w:val="yellow"/>
            </w:rPr>
            <m:t xml:space="preserve"> </m:t>
          </m:r>
          <m:sSub>
            <m:sSubPr>
              <m:ctrlPr>
                <w:rPr>
                  <w:rFonts w:ascii="Cambria Math" w:eastAsiaTheme="minorEastAsia" w:hAnsi="Cambria Math"/>
                  <w:iCs/>
                  <w:highlight w:val="yellow"/>
                </w:rPr>
              </m:ctrlPr>
            </m:sSubPr>
            <m:e>
              <m:r>
                <m:rPr>
                  <m:sty m:val="p"/>
                </m:rPr>
                <w:rPr>
                  <w:rFonts w:ascii="Cambria Math" w:eastAsiaTheme="minorEastAsia" w:hAnsi="Cambria Math"/>
                  <w:highlight w:val="yellow"/>
                </w:rPr>
                <m:t>B</m:t>
              </m:r>
            </m:e>
            <m:sub>
              <m:r>
                <m:rPr>
                  <m:sty m:val="p"/>
                </m:rPr>
                <w:rPr>
                  <w:rFonts w:ascii="Cambria Math" w:eastAsiaTheme="minorEastAsia" w:hAnsi="Cambria Math"/>
                  <w:highlight w:val="yellow"/>
                </w:rPr>
                <m:t>max</m:t>
              </m:r>
            </m:sub>
          </m:sSub>
          <m:d>
            <m:dPr>
              <m:begChr m:val="["/>
              <m:endChr m:val="]"/>
              <m:ctrlPr>
                <w:rPr>
                  <w:rFonts w:ascii="Cambria Math" w:hAnsi="Cambria Math"/>
                  <w:iCs/>
                  <w:highlight w:val="yellow"/>
                </w:rPr>
              </m:ctrlPr>
            </m:dPr>
            <m:e>
              <m:r>
                <m:rPr>
                  <m:sty m:val="p"/>
                </m:rPr>
                <w:rPr>
                  <w:rFonts w:ascii="Cambria Math" w:hAnsi="Cambria Math"/>
                  <w:highlight w:val="yellow"/>
                </w:rPr>
                <m:t>L</m:t>
              </m:r>
            </m:e>
          </m:d>
          <m:sSub>
            <m:sSubPr>
              <m:ctrlPr>
                <w:rPr>
                  <w:rFonts w:ascii="Cambria Math" w:hAnsi="Cambria Math"/>
                  <w:i/>
                  <w:highlight w:val="yellow"/>
                </w:rPr>
              </m:ctrlPr>
            </m:sSubPr>
            <m:e>
              <m:r>
                <w:rPr>
                  <w:rFonts w:ascii="Cambria Math" w:hAnsi="Cambria Math"/>
                  <w:highlight w:val="yellow"/>
                </w:rPr>
                <m:t>k</m:t>
              </m:r>
            </m:e>
            <m:sub>
              <m:r>
                <w:rPr>
                  <w:rFonts w:ascii="Cambria Math" w:hAnsi="Cambria Math"/>
                  <w:highlight w:val="yellow"/>
                </w:rPr>
                <m:t>1</m:t>
              </m:r>
            </m:sub>
          </m:sSub>
          <m:r>
            <w:rPr>
              <w:rFonts w:ascii="Cambria Math" w:hAnsi="Cambria Math"/>
              <w:highlight w:val="yellow"/>
            </w:rPr>
            <m:t>-</m:t>
          </m:r>
          <m:d>
            <m:dPr>
              <m:begChr m:val="["/>
              <m:endChr m:val="]"/>
              <m:ctrlPr>
                <w:rPr>
                  <w:rFonts w:ascii="Cambria Math" w:hAnsi="Cambria Math"/>
                  <w:i/>
                  <w:highlight w:val="yellow"/>
                </w:rPr>
              </m:ctrlPr>
            </m:dPr>
            <m:e>
              <m:r>
                <m:rPr>
                  <m:sty m:val="p"/>
                </m:rPr>
                <w:rPr>
                  <w:rFonts w:ascii="Cambria Math" w:hAnsi="Cambria Math"/>
                  <w:highlight w:val="yellow"/>
                </w:rPr>
                <m:t>RL</m:t>
              </m:r>
            </m:e>
          </m:d>
          <m:d>
            <m:dPr>
              <m:begChr m:val="["/>
              <m:endChr m:val="]"/>
              <m:ctrlPr>
                <w:rPr>
                  <w:rFonts w:ascii="Cambria Math" w:hAnsi="Cambria Math"/>
                  <w:i/>
                  <w:highlight w:val="yellow"/>
                </w:rPr>
              </m:ctrlPr>
            </m:dPr>
            <m:e>
              <m:r>
                <m:rPr>
                  <m:sty m:val="p"/>
                </m:rPr>
                <w:rPr>
                  <w:rFonts w:ascii="Cambria Math" w:hAnsi="Cambria Math"/>
                  <w:highlight w:val="yellow"/>
                </w:rPr>
                <m:t>L</m:t>
              </m:r>
            </m:e>
          </m:d>
          <m:sSub>
            <m:sSubPr>
              <m:ctrlPr>
                <w:rPr>
                  <w:rFonts w:ascii="Cambria Math" w:hAnsi="Cambria Math"/>
                  <w:i/>
                  <w:highlight w:val="yellow"/>
                </w:rPr>
              </m:ctrlPr>
            </m:sSubPr>
            <m:e>
              <m:r>
                <w:rPr>
                  <w:rFonts w:ascii="Cambria Math" w:hAnsi="Cambria Math"/>
                  <w:highlight w:val="yellow"/>
                </w:rPr>
                <m:t>k</m:t>
              </m:r>
            </m:e>
            <m:sub>
              <m:r>
                <w:rPr>
                  <w:rFonts w:ascii="Cambria Math" w:hAnsi="Cambria Math"/>
                  <w:highlight w:val="yellow"/>
                </w:rPr>
                <m:t>1</m:t>
              </m:r>
            </m:sub>
          </m:sSub>
          <m:r>
            <w:rPr>
              <w:rFonts w:ascii="Cambria Math" w:hAnsi="Cambria Math"/>
              <w:highlight w:val="yellow"/>
            </w:rPr>
            <m:t>-</m:t>
          </m:r>
          <m:d>
            <m:dPr>
              <m:begChr m:val="["/>
              <m:endChr m:val="]"/>
              <m:ctrlPr>
                <w:rPr>
                  <w:rFonts w:ascii="Cambria Math" w:hAnsi="Cambria Math"/>
                  <w:highlight w:val="yellow"/>
                </w:rPr>
              </m:ctrlPr>
            </m:dPr>
            <m:e>
              <m:r>
                <m:rPr>
                  <m:sty m:val="p"/>
                </m:rPr>
                <w:rPr>
                  <w:rFonts w:ascii="Cambria Math" w:hAnsi="Cambria Math"/>
                  <w:highlight w:val="yellow"/>
                </w:rPr>
                <m:t>RL</m:t>
              </m:r>
            </m:e>
          </m:d>
          <m:sSub>
            <m:sSubPr>
              <m:ctrlPr>
                <w:rPr>
                  <w:rFonts w:ascii="Cambria Math" w:hAnsi="Cambria Math"/>
                  <w:i/>
                  <w:highlight w:val="yellow"/>
                </w:rPr>
              </m:ctrlPr>
            </m:sSubPr>
            <m:e>
              <m:r>
                <w:rPr>
                  <w:rFonts w:ascii="Cambria Math" w:hAnsi="Cambria Math"/>
                  <w:highlight w:val="yellow"/>
                </w:rPr>
                <m:t>k</m:t>
              </m:r>
            </m:e>
            <m:sub>
              <m:r>
                <w:rPr>
                  <w:rFonts w:ascii="Cambria Math" w:hAnsi="Cambria Math"/>
                  <w:highlight w:val="yellow"/>
                </w:rPr>
                <m:t>2</m:t>
              </m:r>
            </m:sub>
          </m:sSub>
        </m:oMath>
      </m:oMathPara>
    </w:p>
    <w:p w14:paraId="144963CD" w14:textId="5E8661BF" w:rsidR="005A64A6" w:rsidRDefault="005A64A6" w:rsidP="005A64A6"/>
    <w:p w14:paraId="6460D804" w14:textId="77C7E400" w:rsidR="005A64A6" w:rsidRDefault="005A64A6" w:rsidP="005A64A6">
      <w:r>
        <w:t>This equation is now simplified to the following:</w:t>
      </w:r>
    </w:p>
    <w:p w14:paraId="4A82D4A7" w14:textId="77777777" w:rsidR="005A64A6" w:rsidRDefault="005A64A6" w:rsidP="005A64A6"/>
    <w:p w14:paraId="60FD2B02" w14:textId="24CAB445" w:rsidR="005A64A6" w:rsidRPr="005A64A6" w:rsidRDefault="00CF1AF2" w:rsidP="00BE01EC">
      <w:pPr>
        <w:pStyle w:val="Equation"/>
      </w:pPr>
      <m:oMathPara>
        <m:oMath>
          <m:f>
            <m:fPr>
              <m:ctrlPr>
                <w:rPr>
                  <w:rFonts w:ascii="Cambria Math" w:hAnsi="Cambria Math"/>
                  <w:i/>
                  <w:highlight w:val="yellow"/>
                </w:rPr>
              </m:ctrlPr>
            </m:fPr>
            <m:num>
              <m:r>
                <w:rPr>
                  <w:rFonts w:ascii="Cambria Math" w:hAnsi="Cambria Math"/>
                  <w:highlight w:val="yellow"/>
                </w:rPr>
                <m:t>d</m:t>
              </m:r>
              <m:d>
                <m:dPr>
                  <m:begChr m:val="["/>
                  <m:endChr m:val="]"/>
                  <m:ctrlPr>
                    <w:rPr>
                      <w:rFonts w:ascii="Cambria Math" w:hAnsi="Cambria Math"/>
                      <w:highlight w:val="yellow"/>
                    </w:rPr>
                  </m:ctrlPr>
                </m:dPr>
                <m:e>
                  <m:r>
                    <m:rPr>
                      <m:sty m:val="p"/>
                    </m:rPr>
                    <w:rPr>
                      <w:rFonts w:ascii="Cambria Math" w:hAnsi="Cambria Math"/>
                      <w:highlight w:val="yellow"/>
                    </w:rPr>
                    <m:t>RL</m:t>
                  </m:r>
                </m:e>
              </m:d>
            </m:num>
            <m:den>
              <m:r>
                <w:rPr>
                  <w:rFonts w:ascii="Cambria Math" w:hAnsi="Cambria Math"/>
                  <w:highlight w:val="yellow"/>
                </w:rPr>
                <m:t>dt</m:t>
              </m:r>
            </m:den>
          </m:f>
          <m:r>
            <w:rPr>
              <w:rFonts w:ascii="Cambria Math" w:hAnsi="Cambria Math"/>
              <w:highlight w:val="yellow"/>
            </w:rPr>
            <m:t>=</m:t>
          </m:r>
          <m:r>
            <m:rPr>
              <m:sty m:val="p"/>
            </m:rPr>
            <w:rPr>
              <w:rFonts w:ascii="Cambria Math" w:eastAsiaTheme="minorEastAsia" w:hAnsi="Cambria Math"/>
              <w:highlight w:val="yellow"/>
            </w:rPr>
            <m:t xml:space="preserve"> </m:t>
          </m:r>
          <m:sSub>
            <m:sSubPr>
              <m:ctrlPr>
                <w:rPr>
                  <w:rFonts w:ascii="Cambria Math" w:eastAsiaTheme="minorEastAsia" w:hAnsi="Cambria Math"/>
                  <w:iCs/>
                  <w:highlight w:val="yellow"/>
                </w:rPr>
              </m:ctrlPr>
            </m:sSubPr>
            <m:e>
              <m:r>
                <m:rPr>
                  <m:sty m:val="p"/>
                </m:rPr>
                <w:rPr>
                  <w:rFonts w:ascii="Cambria Math" w:eastAsiaTheme="minorEastAsia" w:hAnsi="Cambria Math"/>
                  <w:highlight w:val="yellow"/>
                </w:rPr>
                <m:t>B</m:t>
              </m:r>
            </m:e>
            <m:sub>
              <m:r>
                <m:rPr>
                  <m:sty m:val="p"/>
                </m:rPr>
                <w:rPr>
                  <w:rFonts w:ascii="Cambria Math" w:eastAsiaTheme="minorEastAsia" w:hAnsi="Cambria Math"/>
                  <w:highlight w:val="yellow"/>
                </w:rPr>
                <m:t>max</m:t>
              </m:r>
            </m:sub>
          </m:sSub>
          <m:d>
            <m:dPr>
              <m:begChr m:val="["/>
              <m:endChr m:val="]"/>
              <m:ctrlPr>
                <w:rPr>
                  <w:rFonts w:ascii="Cambria Math" w:hAnsi="Cambria Math"/>
                  <w:iCs/>
                  <w:highlight w:val="yellow"/>
                </w:rPr>
              </m:ctrlPr>
            </m:dPr>
            <m:e>
              <m:r>
                <m:rPr>
                  <m:sty m:val="p"/>
                </m:rPr>
                <w:rPr>
                  <w:rFonts w:ascii="Cambria Math" w:hAnsi="Cambria Math"/>
                  <w:highlight w:val="yellow"/>
                </w:rPr>
                <m:t>L</m:t>
              </m:r>
            </m:e>
          </m:d>
          <m:sSub>
            <m:sSubPr>
              <m:ctrlPr>
                <w:rPr>
                  <w:rFonts w:ascii="Cambria Math" w:hAnsi="Cambria Math"/>
                  <w:i/>
                  <w:highlight w:val="yellow"/>
                </w:rPr>
              </m:ctrlPr>
            </m:sSubPr>
            <m:e>
              <m:r>
                <w:rPr>
                  <w:rFonts w:ascii="Cambria Math" w:hAnsi="Cambria Math"/>
                  <w:highlight w:val="yellow"/>
                </w:rPr>
                <m:t>k</m:t>
              </m:r>
            </m:e>
            <m:sub>
              <m:r>
                <w:rPr>
                  <w:rFonts w:ascii="Cambria Math" w:hAnsi="Cambria Math"/>
                  <w:highlight w:val="yellow"/>
                </w:rPr>
                <m:t>1</m:t>
              </m:r>
            </m:sub>
          </m:sSub>
          <m:r>
            <w:rPr>
              <w:rFonts w:ascii="Cambria Math" w:hAnsi="Cambria Math"/>
              <w:highlight w:val="yellow"/>
            </w:rPr>
            <m:t>-</m:t>
          </m:r>
          <m:d>
            <m:dPr>
              <m:begChr m:val="["/>
              <m:endChr m:val="]"/>
              <m:ctrlPr>
                <w:rPr>
                  <w:rFonts w:ascii="Cambria Math" w:hAnsi="Cambria Math"/>
                  <w:highlight w:val="yellow"/>
                </w:rPr>
              </m:ctrlPr>
            </m:dPr>
            <m:e>
              <m:r>
                <m:rPr>
                  <m:sty m:val="p"/>
                </m:rPr>
                <w:rPr>
                  <w:rFonts w:ascii="Cambria Math" w:hAnsi="Cambria Math"/>
                  <w:highlight w:val="yellow"/>
                </w:rPr>
                <m:t>RL</m:t>
              </m:r>
            </m:e>
          </m:d>
          <m:d>
            <m:dPr>
              <m:ctrlPr>
                <w:rPr>
                  <w:rFonts w:ascii="Cambria Math" w:hAnsi="Cambria Math"/>
                  <w:i/>
                  <w:highlight w:val="yellow"/>
                </w:rPr>
              </m:ctrlPr>
            </m:dPr>
            <m:e>
              <m:d>
                <m:dPr>
                  <m:begChr m:val="["/>
                  <m:endChr m:val="]"/>
                  <m:ctrlPr>
                    <w:rPr>
                      <w:rFonts w:ascii="Cambria Math" w:hAnsi="Cambria Math"/>
                      <w:i/>
                      <w:highlight w:val="yellow"/>
                    </w:rPr>
                  </m:ctrlPr>
                </m:dPr>
                <m:e>
                  <m:r>
                    <m:rPr>
                      <m:sty m:val="p"/>
                    </m:rPr>
                    <w:rPr>
                      <w:rFonts w:ascii="Cambria Math" w:hAnsi="Cambria Math"/>
                      <w:highlight w:val="yellow"/>
                    </w:rPr>
                    <m:t>L</m:t>
                  </m:r>
                </m:e>
              </m:d>
              <m:sSub>
                <m:sSubPr>
                  <m:ctrlPr>
                    <w:rPr>
                      <w:rFonts w:ascii="Cambria Math" w:hAnsi="Cambria Math"/>
                      <w:i/>
                      <w:highlight w:val="yellow"/>
                    </w:rPr>
                  </m:ctrlPr>
                </m:sSubPr>
                <m:e>
                  <m:r>
                    <w:rPr>
                      <w:rFonts w:ascii="Cambria Math" w:hAnsi="Cambria Math"/>
                      <w:highlight w:val="yellow"/>
                    </w:rPr>
                    <m:t>k</m:t>
                  </m:r>
                </m:e>
                <m:sub>
                  <m:r>
                    <w:rPr>
                      <w:rFonts w:ascii="Cambria Math" w:hAnsi="Cambria Math"/>
                      <w:highlight w:val="yellow"/>
                    </w:rPr>
                    <m:t>1</m:t>
                  </m:r>
                </m:sub>
              </m:sSub>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k</m:t>
                  </m:r>
                </m:e>
                <m:sub>
                  <m:r>
                    <w:rPr>
                      <w:rFonts w:ascii="Cambria Math" w:hAnsi="Cambria Math"/>
                      <w:highlight w:val="yellow"/>
                    </w:rPr>
                    <m:t>2</m:t>
                  </m:r>
                </m:sub>
              </m:sSub>
            </m:e>
          </m:d>
        </m:oMath>
      </m:oMathPara>
    </w:p>
    <w:p w14:paraId="59ACE8EA" w14:textId="59704BB9" w:rsidR="005A64A6" w:rsidRDefault="005A64A6" w:rsidP="005A64A6"/>
    <w:p w14:paraId="4415D591" w14:textId="7934B231" w:rsidR="005A64A6" w:rsidRPr="005A64A6" w:rsidRDefault="005A64A6" w:rsidP="005A64A6">
      <w:r>
        <w:t>The next step is to convert the differential equation to an equation of the form</w:t>
      </w:r>
      <w:r w:rsidR="00C94B94">
        <w:t xml:space="preserve"> [RL] = </w:t>
      </w:r>
      <w:proofErr w:type="gramStart"/>
      <w:r w:rsidR="00C94B94" w:rsidRPr="00C94B94">
        <w:rPr>
          <w:i/>
          <w:iCs/>
        </w:rPr>
        <w:t>f</w:t>
      </w:r>
      <w:r w:rsidR="00C94B94">
        <w:t>(</w:t>
      </w:r>
      <w:proofErr w:type="gramEnd"/>
      <w:r w:rsidR="00C94B94" w:rsidRPr="00C94B94">
        <w:rPr>
          <w:i/>
          <w:iCs/>
        </w:rPr>
        <w:t>t</w:t>
      </w:r>
      <w:r w:rsidR="00C94B94">
        <w:t>)</w:t>
      </w:r>
      <w:r>
        <w:t xml:space="preserve"> where </w:t>
      </w:r>
      <w:r w:rsidR="00C94B94" w:rsidRPr="00C94B94">
        <w:rPr>
          <w:i/>
          <w:iCs/>
        </w:rPr>
        <w:t>f</w:t>
      </w:r>
      <w:r w:rsidR="00C94B94">
        <w:t>(</w:t>
      </w:r>
      <w:r w:rsidR="00C94B94" w:rsidRPr="00C94B94">
        <w:rPr>
          <w:i/>
          <w:iCs/>
        </w:rPr>
        <w:t>t</w:t>
      </w:r>
      <w:r w:rsidR="00C94B94">
        <w:t xml:space="preserve">) </w:t>
      </w:r>
      <w:r>
        <w:t>is a function of t</w:t>
      </w:r>
      <w:r w:rsidR="00C94B94">
        <w:t>ime</w:t>
      </w:r>
      <w:r>
        <w:t xml:space="preserve">. This is called the “Analytic form” and is the format used by curve-fitting programs commonly used in </w:t>
      </w:r>
      <w:r w:rsidR="00C94B94">
        <w:t>ligand binding data analysis</w:t>
      </w:r>
      <w:r>
        <w:t>. This step requires facility with integral calculus. Fortunately, in this case the integral is well known and the integration can be done directly, giving</w:t>
      </w:r>
      <w:r w:rsidR="00C94B94">
        <w:t>:</w:t>
      </w:r>
    </w:p>
    <w:p w14:paraId="5AEA172E" w14:textId="0F88D933" w:rsidR="005A64A6" w:rsidRDefault="005A64A6"/>
    <w:p w14:paraId="16B581B9" w14:textId="14CB014C" w:rsidR="005A64A6" w:rsidRPr="005A64A6" w:rsidRDefault="00CF1AF2" w:rsidP="00BE01EC">
      <w:pPr>
        <w:pStyle w:val="Equation"/>
      </w:pPr>
      <m:oMathPara>
        <m:oMath>
          <m:d>
            <m:dPr>
              <m:begChr m:val="["/>
              <m:endChr m:val="]"/>
              <m:ctrlPr>
                <w:rPr>
                  <w:rFonts w:ascii="Cambria Math" w:hAnsi="Cambria Math"/>
                  <w:highlight w:val="yellow"/>
                </w:rPr>
              </m:ctrlPr>
            </m:dPr>
            <m:e>
              <m:r>
                <m:rPr>
                  <m:sty m:val="p"/>
                </m:rPr>
                <w:rPr>
                  <w:rFonts w:ascii="Cambria Math" w:hAnsi="Cambria Math"/>
                  <w:highlight w:val="yellow"/>
                </w:rPr>
                <m:t>RL</m:t>
              </m:r>
            </m:e>
          </m:d>
          <m:r>
            <w:rPr>
              <w:rFonts w:ascii="Cambria Math" w:hAnsi="Cambria Math"/>
            </w:rPr>
            <m:t>=</m:t>
          </m:r>
          <m:r>
            <m:rPr>
              <m:sty m:val="p"/>
            </m:rPr>
            <w:rPr>
              <w:rFonts w:ascii="Cambria Math" w:eastAsiaTheme="minorEastAsia" w:hAnsi="Cambria Math"/>
            </w:rPr>
            <m:t xml:space="preserve"> </m:t>
          </m:r>
          <m:f>
            <m:fPr>
              <m:ctrlPr>
                <w:rPr>
                  <w:rFonts w:ascii="Cambria Math" w:hAnsi="Cambria Math"/>
                  <w:i/>
                </w:rPr>
              </m:ctrlPr>
            </m:fPr>
            <m:num>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max</m:t>
                  </m:r>
                </m:sub>
              </m:sSub>
              <m:d>
                <m:dPr>
                  <m:begChr m:val="["/>
                  <m:endChr m:val="]"/>
                  <m:ctrlPr>
                    <w:rPr>
                      <w:rFonts w:ascii="Cambria Math" w:hAnsi="Cambria Math"/>
                      <w:iCs/>
                    </w:rPr>
                  </m:ctrlPr>
                </m:dPr>
                <m:e>
                  <m:r>
                    <m:rPr>
                      <m:sty m:val="p"/>
                    </m:rPr>
                    <w:rPr>
                      <w:rFonts w:ascii="Cambria Math" w:hAnsi="Cambria Math"/>
                    </w:rPr>
                    <m:t>L</m:t>
                  </m:r>
                </m:e>
              </m:d>
              <m:sSub>
                <m:sSubPr>
                  <m:ctrlPr>
                    <w:rPr>
                      <w:rFonts w:ascii="Cambria Math" w:hAnsi="Cambria Math"/>
                      <w:i/>
                    </w:rPr>
                  </m:ctrlPr>
                </m:sSubPr>
                <m:e>
                  <m:r>
                    <w:rPr>
                      <w:rFonts w:ascii="Cambria Math" w:hAnsi="Cambria Math"/>
                    </w:rPr>
                    <m:t>k</m:t>
                  </m:r>
                </m:e>
                <m:sub>
                  <m:r>
                    <w:rPr>
                      <w:rFonts w:ascii="Cambria Math" w:hAnsi="Cambria Math"/>
                    </w:rPr>
                    <m:t>1</m:t>
                  </m:r>
                </m:sub>
              </m:sSub>
            </m:num>
            <m:den>
              <m:d>
                <m:dPr>
                  <m:begChr m:val="["/>
                  <m:endChr m:val="]"/>
                  <m:ctrlPr>
                    <w:rPr>
                      <w:rFonts w:ascii="Cambria Math" w:hAnsi="Cambria Math"/>
                      <w:i/>
                    </w:rPr>
                  </m:ctrlPr>
                </m:dPr>
                <m:e>
                  <m:r>
                    <m:rPr>
                      <m:sty m:val="p"/>
                    </m:rPr>
                    <w:rPr>
                      <w:rFonts w:ascii="Cambria Math" w:hAnsi="Cambria Math"/>
                    </w:rPr>
                    <m:t>L</m:t>
                  </m:r>
                </m:e>
              </m:d>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2</m:t>
                  </m:r>
                </m:sub>
              </m:sSub>
            </m:den>
          </m:f>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d>
                    <m:dPr>
                      <m:ctrlPr>
                        <w:rPr>
                          <w:rFonts w:ascii="Cambria Math" w:hAnsi="Cambria Math"/>
                          <w:i/>
                        </w:rPr>
                      </m:ctrlPr>
                    </m:dPr>
                    <m:e>
                      <m:d>
                        <m:dPr>
                          <m:begChr m:val="["/>
                          <m:endChr m:val="]"/>
                          <m:ctrlPr>
                            <w:rPr>
                              <w:rFonts w:ascii="Cambria Math" w:hAnsi="Cambria Math"/>
                              <w:i/>
                            </w:rPr>
                          </m:ctrlPr>
                        </m:dPr>
                        <m:e>
                          <m:r>
                            <m:rPr>
                              <m:sty m:val="p"/>
                            </m:rPr>
                            <w:rPr>
                              <w:rFonts w:ascii="Cambria Math" w:hAnsi="Cambria Math"/>
                            </w:rPr>
                            <m:t>L</m:t>
                          </m:r>
                        </m:e>
                      </m:d>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2</m:t>
                          </m:r>
                        </m:sub>
                      </m:sSub>
                    </m:e>
                  </m:d>
                  <m:r>
                    <w:rPr>
                      <w:rFonts w:ascii="Cambria Math" w:hAnsi="Cambria Math"/>
                    </w:rPr>
                    <m:t>.t</m:t>
                  </m:r>
                </m:sup>
              </m:sSup>
            </m:e>
          </m:d>
        </m:oMath>
      </m:oMathPara>
    </w:p>
    <w:p w14:paraId="10012357" w14:textId="3237B67D" w:rsidR="005A64A6" w:rsidRDefault="005A64A6"/>
    <w:p w14:paraId="2E18022D" w14:textId="77B304F7" w:rsidR="003701BE" w:rsidRDefault="003701BE">
      <w:r>
        <w:t>This equation is adapted to analyze the data, as follows. First of all, it can be expressed in a general form. This general form is an equation found in curve fitting programs, and is the association exponential equation (Eq. 1):</w:t>
      </w:r>
    </w:p>
    <w:p w14:paraId="29D26E58" w14:textId="77777777" w:rsidR="003701BE" w:rsidRDefault="003701BE"/>
    <w:p w14:paraId="3DEE3CF6" w14:textId="300985E9" w:rsidR="003701BE" w:rsidRPr="00BE01EC" w:rsidRDefault="00CF1AF2" w:rsidP="00BE01EC">
      <w:pPr>
        <w:pStyle w:val="Equation"/>
        <w:rPr>
          <w:rStyle w:val="LabelorNumber"/>
        </w:rPr>
      </w:pPr>
      <m:oMath>
        <m:d>
          <m:dPr>
            <m:begChr m:val="["/>
            <m:endChr m:val="]"/>
            <m:ctrlPr>
              <w:rPr>
                <w:rFonts w:ascii="Cambria Math" w:eastAsiaTheme="minorEastAsia" w:hAnsi="Cambria Math"/>
                <w:iCs/>
              </w:rPr>
            </m:ctrlPr>
          </m:dPr>
          <m:e>
            <m:r>
              <m:rPr>
                <m:sty m:val="p"/>
              </m:rPr>
              <w:rPr>
                <w:rFonts w:ascii="Cambria Math" w:eastAsiaTheme="minorEastAsia" w:hAnsi="Cambria Math"/>
              </w:rPr>
              <m:t>RL</m:t>
            </m:r>
          </m:e>
        </m:d>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[RL]</m:t>
            </m:r>
          </m:e>
          <m:sub>
            <m:r>
              <w:rPr>
                <w:rFonts w:ascii="Cambria Math" w:eastAsiaTheme="minorEastAsia" w:hAnsi="Cambria Math"/>
              </w:rPr>
              <m:t>t</m:t>
            </m:r>
            <m:r>
              <m:rPr>
                <m:sty m:val="p"/>
              </m:rPr>
              <w:rPr>
                <w:rFonts w:ascii="Cambria Math" w:eastAsiaTheme="minorEastAsia" w:hAnsi="Cambria Math"/>
              </w:rPr>
              <m:t>(</m:t>
            </m:r>
            <m:r>
              <w:rPr>
                <w:rFonts w:ascii="Cambria Math" w:eastAsiaTheme="minorEastAsia" w:hAnsi="Cambria Math"/>
              </w:rPr>
              <m:t>inf</m:t>
            </m:r>
            <m:r>
              <m:rPr>
                <m:sty m:val="p"/>
              </m:rPr>
              <w:rPr>
                <w:rFonts w:ascii="Cambria Math" w:eastAsiaTheme="minorEastAsia" w:hAnsi="Cambria Math"/>
              </w:rPr>
              <m:t>)</m:t>
            </m:r>
          </m:sub>
        </m:sSub>
        <m:r>
          <m:rPr>
            <m:sty m:val="p"/>
          </m:rP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1-</m:t>
            </m:r>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obs</m:t>
                    </m:r>
                  </m:sub>
                </m:sSub>
                <m:r>
                  <w:rPr>
                    <w:rFonts w:ascii="Cambria Math" w:eastAsiaTheme="minorEastAsia" w:hAnsi="Cambria Math"/>
                  </w:rPr>
                  <m:t>t</m:t>
                </m:r>
              </m:sup>
            </m:sSup>
          </m:e>
        </m:d>
      </m:oMath>
      <w:r w:rsidR="00477631">
        <w:rPr>
          <w:rFonts w:eastAsiaTheme="minorEastAsia"/>
        </w:rPr>
        <w:tab/>
      </w:r>
      <w:r w:rsidR="003701BE" w:rsidRPr="00BE01EC">
        <w:rPr>
          <w:rStyle w:val="LabelorNumber"/>
        </w:rPr>
        <w:t>Eq. 1</w:t>
      </w:r>
    </w:p>
    <w:p w14:paraId="22206B84" w14:textId="1C9B4FA9" w:rsidR="003701BE" w:rsidRDefault="003701BE">
      <w:proofErr w:type="gramStart"/>
      <w:r>
        <w:t>where</w:t>
      </w:r>
      <w:proofErr w:type="gramEnd"/>
      <w:r>
        <w:t xml:space="preserve">, </w:t>
      </w:r>
    </w:p>
    <w:p w14:paraId="0258A20D" w14:textId="7B6E8796" w:rsidR="003701BE" w:rsidRPr="003701BE" w:rsidRDefault="00CF1AF2" w:rsidP="00BE01EC">
      <w:pPr>
        <w:pStyle w:val="Equation"/>
      </w:pPr>
      <m:oMathPara>
        <m:oMath>
          <m:sSub>
            <m:sSubPr>
              <m:ctrlPr>
                <w:rPr>
                  <w:rFonts w:ascii="Cambria Math" w:eastAsiaTheme="minorEastAsia" w:hAnsi="Cambria Math"/>
                  <w:i/>
                  <w:highlight w:val="yellow"/>
                </w:rPr>
              </m:ctrlPr>
            </m:sSubPr>
            <m:e>
              <m:d>
                <m:dPr>
                  <m:begChr m:val="["/>
                  <m:endChr m:val="]"/>
                  <m:ctrlPr>
                    <w:rPr>
                      <w:rFonts w:ascii="Cambria Math" w:eastAsiaTheme="minorEastAsia" w:hAnsi="Cambria Math"/>
                      <w:i/>
                      <w:highlight w:val="yellow"/>
                    </w:rPr>
                  </m:ctrlPr>
                </m:dPr>
                <m:e>
                  <m:r>
                    <m:rPr>
                      <m:sty m:val="p"/>
                    </m:rPr>
                    <w:rPr>
                      <w:rFonts w:ascii="Cambria Math" w:eastAsiaTheme="minorEastAsia" w:hAnsi="Cambria Math"/>
                      <w:highlight w:val="yellow"/>
                    </w:rPr>
                    <m:t>RL</m:t>
                  </m:r>
                </m:e>
              </m:d>
            </m:e>
            <m:sub>
              <m:r>
                <w:rPr>
                  <w:rFonts w:ascii="Cambria Math" w:eastAsiaTheme="minorEastAsia" w:hAnsi="Cambria Math"/>
                  <w:highlight w:val="yellow"/>
                </w:rPr>
                <m:t>t</m:t>
              </m:r>
              <m:d>
                <m:dPr>
                  <m:ctrlPr>
                    <w:rPr>
                      <w:rFonts w:ascii="Cambria Math" w:eastAsiaTheme="minorEastAsia" w:hAnsi="Cambria Math"/>
                      <w:i/>
                      <w:highlight w:val="yellow"/>
                    </w:rPr>
                  </m:ctrlPr>
                </m:dPr>
                <m:e>
                  <m:r>
                    <w:rPr>
                      <w:rFonts w:ascii="Cambria Math" w:eastAsiaTheme="minorEastAsia" w:hAnsi="Cambria Math"/>
                      <w:highlight w:val="yellow"/>
                    </w:rPr>
                    <m:t>inf</m:t>
                  </m:r>
                </m:e>
              </m:d>
            </m:sub>
          </m:sSub>
          <m:r>
            <w:rPr>
              <w:rFonts w:ascii="Cambria Math" w:eastAsiaTheme="minorEastAsia" w:hAnsi="Cambria Math"/>
              <w:highlight w:val="yellow"/>
            </w:rPr>
            <m:t>=</m:t>
          </m:r>
          <m:f>
            <m:fPr>
              <m:ctrlPr>
                <w:rPr>
                  <w:rFonts w:ascii="Cambria Math" w:hAnsi="Cambria Math"/>
                  <w:i/>
                  <w:highlight w:val="yellow"/>
                </w:rPr>
              </m:ctrlPr>
            </m:fPr>
            <m:num>
              <m:sSub>
                <m:sSubPr>
                  <m:ctrlPr>
                    <w:rPr>
                      <w:rFonts w:ascii="Cambria Math" w:eastAsiaTheme="minorEastAsia" w:hAnsi="Cambria Math"/>
                      <w:iCs/>
                      <w:highlight w:val="yellow"/>
                    </w:rPr>
                  </m:ctrlPr>
                </m:sSubPr>
                <m:e>
                  <m:r>
                    <m:rPr>
                      <m:sty m:val="p"/>
                    </m:rPr>
                    <w:rPr>
                      <w:rFonts w:ascii="Cambria Math" w:eastAsiaTheme="minorEastAsia" w:hAnsi="Cambria Math"/>
                      <w:highlight w:val="yellow"/>
                    </w:rPr>
                    <m:t>B</m:t>
                  </m:r>
                </m:e>
                <m:sub>
                  <m:r>
                    <m:rPr>
                      <m:sty m:val="p"/>
                    </m:rPr>
                    <w:rPr>
                      <w:rFonts w:ascii="Cambria Math" w:eastAsiaTheme="minorEastAsia" w:hAnsi="Cambria Math"/>
                      <w:highlight w:val="yellow"/>
                    </w:rPr>
                    <m:t>max</m:t>
                  </m:r>
                </m:sub>
              </m:sSub>
              <m:d>
                <m:dPr>
                  <m:begChr m:val="["/>
                  <m:endChr m:val="]"/>
                  <m:ctrlPr>
                    <w:rPr>
                      <w:rFonts w:ascii="Cambria Math" w:hAnsi="Cambria Math"/>
                      <w:iCs/>
                      <w:highlight w:val="yellow"/>
                    </w:rPr>
                  </m:ctrlPr>
                </m:dPr>
                <m:e>
                  <m:r>
                    <m:rPr>
                      <m:sty m:val="p"/>
                    </m:rPr>
                    <w:rPr>
                      <w:rFonts w:ascii="Cambria Math" w:hAnsi="Cambria Math"/>
                      <w:highlight w:val="yellow"/>
                    </w:rPr>
                    <m:t>L</m:t>
                  </m:r>
                </m:e>
              </m:d>
              <m:sSub>
                <m:sSubPr>
                  <m:ctrlPr>
                    <w:rPr>
                      <w:rFonts w:ascii="Cambria Math" w:hAnsi="Cambria Math"/>
                      <w:i/>
                      <w:highlight w:val="yellow"/>
                    </w:rPr>
                  </m:ctrlPr>
                </m:sSubPr>
                <m:e>
                  <m:r>
                    <w:rPr>
                      <w:rFonts w:ascii="Cambria Math" w:hAnsi="Cambria Math"/>
                      <w:highlight w:val="yellow"/>
                    </w:rPr>
                    <m:t>k</m:t>
                  </m:r>
                </m:e>
                <m:sub>
                  <m:r>
                    <w:rPr>
                      <w:rFonts w:ascii="Cambria Math" w:hAnsi="Cambria Math"/>
                      <w:highlight w:val="yellow"/>
                    </w:rPr>
                    <m:t>1</m:t>
                  </m:r>
                </m:sub>
              </m:sSub>
            </m:num>
            <m:den>
              <m:d>
                <m:dPr>
                  <m:begChr m:val="["/>
                  <m:endChr m:val="]"/>
                  <m:ctrlPr>
                    <w:rPr>
                      <w:rFonts w:ascii="Cambria Math" w:hAnsi="Cambria Math"/>
                      <w:i/>
                      <w:highlight w:val="yellow"/>
                    </w:rPr>
                  </m:ctrlPr>
                </m:dPr>
                <m:e>
                  <m:r>
                    <m:rPr>
                      <m:sty m:val="p"/>
                    </m:rPr>
                    <w:rPr>
                      <w:rFonts w:ascii="Cambria Math" w:hAnsi="Cambria Math"/>
                      <w:highlight w:val="yellow"/>
                    </w:rPr>
                    <m:t>L</m:t>
                  </m:r>
                </m:e>
              </m:d>
              <m:sSub>
                <m:sSubPr>
                  <m:ctrlPr>
                    <w:rPr>
                      <w:rFonts w:ascii="Cambria Math" w:hAnsi="Cambria Math"/>
                      <w:i/>
                      <w:highlight w:val="yellow"/>
                    </w:rPr>
                  </m:ctrlPr>
                </m:sSubPr>
                <m:e>
                  <m:r>
                    <w:rPr>
                      <w:rFonts w:ascii="Cambria Math" w:hAnsi="Cambria Math"/>
                      <w:highlight w:val="yellow"/>
                    </w:rPr>
                    <m:t>k</m:t>
                  </m:r>
                </m:e>
                <m:sub>
                  <m:r>
                    <w:rPr>
                      <w:rFonts w:ascii="Cambria Math" w:hAnsi="Cambria Math"/>
                      <w:highlight w:val="yellow"/>
                    </w:rPr>
                    <m:t>1</m:t>
                  </m:r>
                </m:sub>
              </m:sSub>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k</m:t>
                  </m:r>
                </m:e>
                <m:sub>
                  <m:r>
                    <w:rPr>
                      <w:rFonts w:ascii="Cambria Math" w:hAnsi="Cambria Math"/>
                      <w:highlight w:val="yellow"/>
                    </w:rPr>
                    <m:t>2</m:t>
                  </m:r>
                </m:sub>
              </m:sSub>
            </m:den>
          </m:f>
        </m:oMath>
      </m:oMathPara>
    </w:p>
    <w:p w14:paraId="3A2E4860" w14:textId="77777777" w:rsidR="003701BE" w:rsidRPr="003701BE" w:rsidRDefault="003701BE"/>
    <w:p w14:paraId="25F0AB36" w14:textId="58B2A61E" w:rsidR="003701BE" w:rsidRPr="003701BE" w:rsidRDefault="00CF1AF2" w:rsidP="00BE01EC">
      <w:pPr>
        <w:pStyle w:val="Equation"/>
      </w:pPr>
      <m:oMathPara>
        <m:oMath>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obs</m:t>
              </m:r>
            </m:sub>
          </m:sSub>
          <m:r>
            <m:rPr>
              <m:sty m:val="p"/>
            </m:rPr>
            <w:rPr>
              <w:rFonts w:ascii="Cambria Math" w:eastAsiaTheme="minorEastAsia" w:hAnsi="Cambria Math"/>
            </w:rPr>
            <m:t>=</m:t>
          </m:r>
          <m:d>
            <m:dPr>
              <m:begChr m:val="["/>
              <m:endChr m:val="]"/>
              <m:ctrlPr>
                <w:rPr>
                  <w:rFonts w:ascii="Cambria Math" w:hAnsi="Cambria Math"/>
                </w:rPr>
              </m:ctrlPr>
            </m:dPr>
            <m:e>
              <m:r>
                <m:rPr>
                  <m:sty m:val="p"/>
                </m:rPr>
                <w:rPr>
                  <w:rFonts w:ascii="Cambria Math" w:hAnsi="Cambria Math"/>
                </w:rPr>
                <m:t>L</m:t>
              </m:r>
            </m:e>
          </m:d>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404A6A5F" w14:textId="77777777" w:rsidR="003701BE" w:rsidRDefault="003701BE"/>
    <w:p w14:paraId="181635F2" w14:textId="7EBB5D45" w:rsidR="00B97618" w:rsidRDefault="00B97618">
      <w:r>
        <w:t xml:space="preserve">Time course data are analyzed with Eq. 1. [RL] is the y value, </w:t>
      </w:r>
      <w:r>
        <w:rPr>
          <w:i/>
          <w:iCs/>
        </w:rPr>
        <w:t>t</w:t>
      </w:r>
      <w:r>
        <w:t xml:space="preserve"> the x value, and the fitted values are [RL</w:t>
      </w:r>
      <w:proofErr w:type="gramStart"/>
      <w:r>
        <w:t>]</w:t>
      </w:r>
      <w:r>
        <w:rPr>
          <w:i/>
          <w:iCs/>
          <w:vertAlign w:val="subscript"/>
        </w:rPr>
        <w:t>t</w:t>
      </w:r>
      <w:proofErr w:type="gramEnd"/>
      <w:r>
        <w:rPr>
          <w:vertAlign w:val="subscript"/>
        </w:rPr>
        <w:t>(</w:t>
      </w:r>
      <w:proofErr w:type="spellStart"/>
      <w:r>
        <w:rPr>
          <w:i/>
          <w:iCs/>
          <w:vertAlign w:val="subscript"/>
        </w:rPr>
        <w:t>inf</w:t>
      </w:r>
      <w:proofErr w:type="spellEnd"/>
      <w:r>
        <w:rPr>
          <w:vertAlign w:val="subscript"/>
        </w:rPr>
        <w:t>)</w:t>
      </w:r>
      <w:r>
        <w:t xml:space="preserve"> (the binding level at the plateau) and </w:t>
      </w:r>
      <w:proofErr w:type="spellStart"/>
      <w:r>
        <w:rPr>
          <w:i/>
          <w:iCs/>
        </w:rPr>
        <w:t>k</w:t>
      </w:r>
      <w:r>
        <w:rPr>
          <w:i/>
          <w:iCs/>
          <w:vertAlign w:val="subscript"/>
        </w:rPr>
        <w:t>obs</w:t>
      </w:r>
      <w:proofErr w:type="spellEnd"/>
      <w:r>
        <w:t xml:space="preserve"> (the rate constant) (</w:t>
      </w:r>
      <w:r w:rsidR="00A64809">
        <w:t xml:space="preserve">see </w:t>
      </w:r>
      <w:hyperlink w:anchor="_Association_Rate_Constant" w:history="1">
        <w:r w:rsidR="00A64809" w:rsidRPr="00A64809">
          <w:rPr>
            <w:rStyle w:val="Hyperlink"/>
          </w:rPr>
          <w:t>Association Rate Constant from a Direct Target-Ligand Binding Assay</w:t>
        </w:r>
      </w:hyperlink>
      <w:r>
        <w:t>).</w:t>
      </w:r>
      <w:r w:rsidR="00604670">
        <w:t xml:space="preserve"> In Prism, Eq. 1 is named “One-phase association” </w:t>
      </w:r>
      <w:r w:rsidR="00D42632">
        <w:t xml:space="preserve">(41). </w:t>
      </w:r>
    </w:p>
    <w:p w14:paraId="5595675E" w14:textId="74F62A02" w:rsidR="00CF4F6B" w:rsidRPr="00CF4F6B" w:rsidRDefault="00CF4F6B" w:rsidP="00B97618">
      <w:pPr>
        <w:ind w:firstLine="720"/>
      </w:pPr>
      <w:r>
        <w:t xml:space="preserve">The </w:t>
      </w:r>
      <w:proofErr w:type="spellStart"/>
      <w:r>
        <w:rPr>
          <w:i/>
          <w:iCs/>
        </w:rPr>
        <w:t>k</w:t>
      </w:r>
      <w:r>
        <w:rPr>
          <w:i/>
          <w:iCs/>
          <w:vertAlign w:val="subscript"/>
        </w:rPr>
        <w:t>obs</w:t>
      </w:r>
      <w:proofErr w:type="spellEnd"/>
      <w:r>
        <w:t xml:space="preserve"> = [L</w:t>
      </w:r>
      <w:proofErr w:type="gramStart"/>
      <w:r>
        <w:t>]</w:t>
      </w:r>
      <w:r>
        <w:rPr>
          <w:i/>
          <w:iCs/>
        </w:rPr>
        <w:t>k</w:t>
      </w:r>
      <w:r>
        <w:rPr>
          <w:vertAlign w:val="subscript"/>
        </w:rPr>
        <w:t>1</w:t>
      </w:r>
      <w:proofErr w:type="gramEnd"/>
      <w:r>
        <w:t xml:space="preserve"> + </w:t>
      </w:r>
      <w:r>
        <w:rPr>
          <w:i/>
          <w:iCs/>
        </w:rPr>
        <w:t>k</w:t>
      </w:r>
      <w:r>
        <w:rPr>
          <w:vertAlign w:val="subscript"/>
        </w:rPr>
        <w:t>2</w:t>
      </w:r>
      <w:r>
        <w:t xml:space="preserve"> equation is now used to determine the </w:t>
      </w:r>
      <w:r>
        <w:rPr>
          <w:i/>
          <w:iCs/>
        </w:rPr>
        <w:t>k</w:t>
      </w:r>
      <w:r>
        <w:rPr>
          <w:vertAlign w:val="subscript"/>
        </w:rPr>
        <w:t>1</w:t>
      </w:r>
      <w:r>
        <w:t xml:space="preserve"> value</w:t>
      </w:r>
      <w:r w:rsidR="00B97618">
        <w:t xml:space="preserve"> (</w:t>
      </w:r>
      <w:r w:rsidR="00A64809">
        <w:t xml:space="preserve">see </w:t>
      </w:r>
      <w:hyperlink w:anchor="_Association_Rate_Constant" w:history="1">
        <w:r w:rsidR="00A64809" w:rsidRPr="00A64809">
          <w:rPr>
            <w:rStyle w:val="Hyperlink"/>
          </w:rPr>
          <w:t>Association Rate Constant from a Direct Target-Ligand Binding Assay</w:t>
        </w:r>
      </w:hyperlink>
      <w:r w:rsidR="00B97618">
        <w:t>)</w:t>
      </w:r>
      <w:r>
        <w:t xml:space="preserve">. </w:t>
      </w:r>
      <w:proofErr w:type="spellStart"/>
      <w:proofErr w:type="gramStart"/>
      <w:r>
        <w:rPr>
          <w:i/>
          <w:iCs/>
        </w:rPr>
        <w:t>k</w:t>
      </w:r>
      <w:r>
        <w:rPr>
          <w:i/>
          <w:iCs/>
          <w:vertAlign w:val="subscript"/>
        </w:rPr>
        <w:t>obs</w:t>
      </w:r>
      <w:proofErr w:type="spellEnd"/>
      <w:proofErr w:type="gramEnd"/>
      <w:r>
        <w:t xml:space="preserve"> is measured for a range of ligand concentrations (</w:t>
      </w:r>
      <w:r w:rsidR="00900795">
        <w:t>Figure</w:t>
      </w:r>
      <w:r>
        <w:t xml:space="preserve"> 3A) and then </w:t>
      </w:r>
      <w:proofErr w:type="spellStart"/>
      <w:r>
        <w:rPr>
          <w:i/>
          <w:iCs/>
        </w:rPr>
        <w:t>k</w:t>
      </w:r>
      <w:r>
        <w:rPr>
          <w:i/>
          <w:iCs/>
          <w:vertAlign w:val="subscript"/>
        </w:rPr>
        <w:t>obs</w:t>
      </w:r>
      <w:proofErr w:type="spellEnd"/>
      <w:r>
        <w:t xml:space="preserve"> is plotted versus the ligand concentration. This plot is a straight line with gradient of </w:t>
      </w:r>
      <w:r>
        <w:rPr>
          <w:i/>
          <w:iCs/>
        </w:rPr>
        <w:t>k</w:t>
      </w:r>
      <w:r>
        <w:rPr>
          <w:vertAlign w:val="subscript"/>
        </w:rPr>
        <w:t>1</w:t>
      </w:r>
      <w:r>
        <w:t xml:space="preserve"> (</w:t>
      </w:r>
      <w:r w:rsidR="00900795">
        <w:t>Figure</w:t>
      </w:r>
      <w:r>
        <w:t xml:space="preserve"> 3B) so the data are analyzed by linear regression. The fitted value of the gradient is equal to </w:t>
      </w:r>
      <w:r>
        <w:rPr>
          <w:i/>
          <w:iCs/>
        </w:rPr>
        <w:t>k</w:t>
      </w:r>
      <w:r>
        <w:rPr>
          <w:vertAlign w:val="subscript"/>
        </w:rPr>
        <w:t>1</w:t>
      </w:r>
      <w:r>
        <w:t>.</w:t>
      </w:r>
    </w:p>
    <w:p w14:paraId="0B467F94" w14:textId="26452593" w:rsidR="005A64A6" w:rsidRDefault="005A64A6"/>
    <w:p w14:paraId="45BF455B" w14:textId="1927C2A6" w:rsidR="00B601C2" w:rsidRDefault="00B601C2" w:rsidP="00180634">
      <w:pPr>
        <w:pStyle w:val="Heading4"/>
      </w:pPr>
      <w:r>
        <w:lastRenderedPageBreak/>
        <w:t xml:space="preserve">Dissociation </w:t>
      </w:r>
      <w:r w:rsidR="00D65B90">
        <w:t>Time Course E</w:t>
      </w:r>
      <w:r>
        <w:t>quation</w:t>
      </w:r>
    </w:p>
    <w:p w14:paraId="67B3F8BD" w14:textId="3C16D301" w:rsidR="00B601C2" w:rsidRDefault="00B601C2">
      <w:r>
        <w:tab/>
        <w:t>In the dissociation assay, the target-ligand complex is formed, and then the decay of the target-ligand complex is measured over time after an experimental intervention that blocks the association interaction</w:t>
      </w:r>
      <w:r w:rsidR="008A53FC">
        <w:t xml:space="preserve"> (the dissociation phase)</w:t>
      </w:r>
      <w:r>
        <w:t xml:space="preserve">. </w:t>
      </w:r>
      <w:r w:rsidR="008A53FC">
        <w:t xml:space="preserve">Association can be blocked by washing out the unbound ligand, or, </w:t>
      </w:r>
      <w:r w:rsidR="00D1209C">
        <w:t xml:space="preserve">when </w:t>
      </w:r>
      <w:r w:rsidR="008A53FC">
        <w:t>a labeled ligand</w:t>
      </w:r>
      <w:r w:rsidR="00D1209C">
        <w:t xml:space="preserve"> is being used</w:t>
      </w:r>
      <w:r w:rsidR="008A53FC">
        <w:t xml:space="preserve">, addition of a large excess of unlabeled ligand. </w:t>
      </w:r>
      <w:r>
        <w:t>The mechanism in the dissociation phase of the experiment is simply breakdown of the target-ligand complex:</w:t>
      </w:r>
    </w:p>
    <w:p w14:paraId="223A2DE4" w14:textId="5084644D" w:rsidR="00B601C2" w:rsidRDefault="00C119F5" w:rsidP="0042324D">
      <w:pPr>
        <w:pStyle w:val="Equation"/>
      </w:pPr>
      <w:r>
        <w:rPr>
          <w:noProof/>
        </w:rPr>
        <w:drawing>
          <wp:inline distT="0" distB="0" distL="0" distR="0" wp14:anchorId="0208BEB6" wp14:editId="12A6EDC2">
            <wp:extent cx="1197864" cy="438912"/>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heme 2 page 36.jpg_10pc300dpi.jpg"/>
                    <pic:cNvPicPr/>
                  </pic:nvPicPr>
                  <pic:blipFill>
                    <a:blip r:embed="rId33">
                      <a:extLst>
                        <a:ext uri="{28A0092B-C50C-407E-A947-70E740481C1C}">
                          <a14:useLocalDpi xmlns:a14="http://schemas.microsoft.com/office/drawing/2010/main" val="0"/>
                        </a:ext>
                      </a:extLst>
                    </a:blip>
                    <a:stretch>
                      <a:fillRect/>
                    </a:stretch>
                  </pic:blipFill>
                  <pic:spPr>
                    <a:xfrm>
                      <a:off x="0" y="0"/>
                      <a:ext cx="1197864" cy="438912"/>
                    </a:xfrm>
                    <a:prstGeom prst="rect">
                      <a:avLst/>
                    </a:prstGeom>
                  </pic:spPr>
                </pic:pic>
              </a:graphicData>
            </a:graphic>
          </wp:inline>
        </w:drawing>
      </w:r>
    </w:p>
    <w:p w14:paraId="5770BB5A" w14:textId="6E03AD3B" w:rsidR="003A600D" w:rsidRPr="003A600D" w:rsidRDefault="003A600D" w:rsidP="003A600D">
      <w:pPr>
        <w:jc w:val="center"/>
        <w:rPr>
          <w:b/>
          <w:bCs/>
        </w:rPr>
      </w:pPr>
      <w:r w:rsidRPr="003A600D">
        <w:rPr>
          <w:b/>
          <w:bCs/>
        </w:rPr>
        <w:t>Scheme 2</w:t>
      </w:r>
    </w:p>
    <w:p w14:paraId="4F1EE2FB" w14:textId="77777777" w:rsidR="00D1209C" w:rsidRDefault="00D1209C"/>
    <w:p w14:paraId="57526D7D" w14:textId="32F99267" w:rsidR="00B601C2" w:rsidRDefault="00B601C2">
      <w:r>
        <w:t>The equation defining the dissociation time course is derived using the same strategy as described above for the association</w:t>
      </w:r>
      <w:r w:rsidR="00D1209C">
        <w:t xml:space="preserve"> process</w:t>
      </w:r>
      <w:r>
        <w:t>. The rate of change of the target-ligand complex over time is simply the rate of decay of the complex:</w:t>
      </w:r>
    </w:p>
    <w:p w14:paraId="0AF35E1B" w14:textId="77777777" w:rsidR="00B601C2" w:rsidRDefault="00B601C2"/>
    <w:p w14:paraId="377C10D2" w14:textId="287B3533" w:rsidR="00B601C2" w:rsidRDefault="00CF1AF2" w:rsidP="00BE01EC">
      <w:pPr>
        <w:pStyle w:val="Equation"/>
      </w:pPr>
      <m:oMathPara>
        <m:oMath>
          <m:f>
            <m:fPr>
              <m:ctrlPr>
                <w:rPr>
                  <w:rFonts w:ascii="Cambria Math" w:hAnsi="Cambria Math"/>
                  <w:i/>
                  <w:highlight w:val="yellow"/>
                </w:rPr>
              </m:ctrlPr>
            </m:fPr>
            <m:num>
              <m:r>
                <w:rPr>
                  <w:rFonts w:ascii="Cambria Math" w:hAnsi="Cambria Math"/>
                  <w:highlight w:val="yellow"/>
                </w:rPr>
                <m:t>d[</m:t>
              </m:r>
              <m:r>
                <m:rPr>
                  <m:sty m:val="p"/>
                </m:rPr>
                <w:rPr>
                  <w:rFonts w:ascii="Cambria Math" w:hAnsi="Cambria Math"/>
                  <w:highlight w:val="yellow"/>
                </w:rPr>
                <m:t>RL</m:t>
              </m:r>
              <m:r>
                <w:rPr>
                  <w:rFonts w:ascii="Cambria Math" w:hAnsi="Cambria Math"/>
                  <w:highlight w:val="yellow"/>
                </w:rPr>
                <m:t>]</m:t>
              </m:r>
            </m:num>
            <m:den>
              <m:r>
                <w:rPr>
                  <w:rFonts w:ascii="Cambria Math" w:hAnsi="Cambria Math"/>
                  <w:highlight w:val="yellow"/>
                </w:rPr>
                <m:t>dt</m:t>
              </m:r>
            </m:den>
          </m:f>
          <m:r>
            <w:rPr>
              <w:rFonts w:ascii="Cambria Math" w:hAnsi="Cambria Math"/>
              <w:highlight w:val="yellow"/>
            </w:rPr>
            <m:t>=-</m:t>
          </m:r>
          <m:d>
            <m:dPr>
              <m:begChr m:val="["/>
              <m:endChr m:val="]"/>
              <m:ctrlPr>
                <w:rPr>
                  <w:rFonts w:ascii="Cambria Math" w:hAnsi="Cambria Math"/>
                  <w:i/>
                  <w:highlight w:val="yellow"/>
                </w:rPr>
              </m:ctrlPr>
            </m:dPr>
            <m:e>
              <m:r>
                <m:rPr>
                  <m:sty m:val="p"/>
                </m:rPr>
                <w:rPr>
                  <w:rFonts w:ascii="Cambria Math" w:hAnsi="Cambria Math"/>
                  <w:highlight w:val="yellow"/>
                </w:rPr>
                <m:t>RL</m:t>
              </m:r>
            </m:e>
          </m:d>
          <m:sSub>
            <m:sSubPr>
              <m:ctrlPr>
                <w:rPr>
                  <w:rFonts w:ascii="Cambria Math" w:hAnsi="Cambria Math"/>
                  <w:i/>
                  <w:highlight w:val="yellow"/>
                </w:rPr>
              </m:ctrlPr>
            </m:sSubPr>
            <m:e>
              <m:r>
                <w:rPr>
                  <w:rFonts w:ascii="Cambria Math" w:hAnsi="Cambria Math"/>
                  <w:highlight w:val="yellow"/>
                </w:rPr>
                <m:t>k</m:t>
              </m:r>
            </m:e>
            <m:sub>
              <m:r>
                <w:rPr>
                  <w:rFonts w:ascii="Cambria Math" w:hAnsi="Cambria Math"/>
                  <w:highlight w:val="yellow"/>
                </w:rPr>
                <m:t>2</m:t>
              </m:r>
            </m:sub>
          </m:sSub>
        </m:oMath>
      </m:oMathPara>
    </w:p>
    <w:p w14:paraId="6F6FB24C" w14:textId="77777777" w:rsidR="00B601C2" w:rsidRDefault="00B601C2"/>
    <w:p w14:paraId="1CB504A4" w14:textId="7B73338F" w:rsidR="00B601C2" w:rsidRDefault="00B601C2" w:rsidP="00B601C2">
      <w:r>
        <w:t>Note the negative sign, indicating</w:t>
      </w:r>
      <w:r w:rsidR="00D1209C">
        <w:t xml:space="preserve"> [RL]</w:t>
      </w:r>
      <w:r>
        <w:t xml:space="preserve"> is declining over time.</w:t>
      </w:r>
      <w:r w:rsidR="008A53FC">
        <w:t xml:space="preserve"> The next step is to obtain the analytic form, and this is done directly by integration, giving</w:t>
      </w:r>
      <w:r w:rsidR="00D1209C">
        <w:t xml:space="preserve"> the equation used to analyze the data (Eq. 2)</w:t>
      </w:r>
      <w:r w:rsidR="008A53FC">
        <w:t>:</w:t>
      </w:r>
    </w:p>
    <w:p w14:paraId="0D8DFAD9" w14:textId="77777777" w:rsidR="00D1209C" w:rsidRDefault="00D1209C" w:rsidP="00B601C2"/>
    <w:p w14:paraId="5687BADC" w14:textId="77777777" w:rsidR="00D1209C" w:rsidRDefault="00D1209C" w:rsidP="00B601C2"/>
    <w:p w14:paraId="43278644" w14:textId="7A50891B" w:rsidR="00D1209C" w:rsidRPr="00BE01EC" w:rsidRDefault="00CF1AF2" w:rsidP="00BE01EC">
      <w:pPr>
        <w:pStyle w:val="Equation"/>
        <w:rPr>
          <w:rStyle w:val="LabelorNumber"/>
        </w:rPr>
      </w:pPr>
      <m:oMath>
        <m:d>
          <m:dPr>
            <m:begChr m:val="["/>
            <m:endChr m:val="]"/>
            <m:ctrlPr>
              <w:rPr>
                <w:rFonts w:ascii="Cambria Math" w:eastAsiaTheme="minorEastAsia" w:hAnsi="Cambria Math"/>
                <w:iCs/>
                <w:highlight w:val="yellow"/>
              </w:rPr>
            </m:ctrlPr>
          </m:dPr>
          <m:e>
            <m:r>
              <m:rPr>
                <m:sty m:val="p"/>
              </m:rPr>
              <w:rPr>
                <w:rFonts w:ascii="Cambria Math" w:eastAsiaTheme="minorEastAsia" w:hAnsi="Cambria Math"/>
                <w:highlight w:val="yellow"/>
              </w:rPr>
              <m:t>RL</m:t>
            </m:r>
          </m:e>
        </m:d>
        <m:r>
          <w:rPr>
            <w:rFonts w:ascii="Cambria Math" w:eastAsiaTheme="minorEastAsia" w:hAnsi="Cambria Math"/>
            <w:highlight w:val="yellow"/>
          </w:rPr>
          <m:t>=</m:t>
        </m:r>
        <m:sSub>
          <m:sSubPr>
            <m:ctrlPr>
              <w:rPr>
                <w:rFonts w:ascii="Cambria Math" w:eastAsiaTheme="minorEastAsia" w:hAnsi="Cambria Math"/>
                <w:i/>
                <w:highlight w:val="yellow"/>
              </w:rPr>
            </m:ctrlPr>
          </m:sSubPr>
          <m:e>
            <m:d>
              <m:dPr>
                <m:begChr m:val="["/>
                <m:endChr m:val="]"/>
                <m:ctrlPr>
                  <w:rPr>
                    <w:rFonts w:ascii="Cambria Math" w:eastAsiaTheme="minorEastAsia" w:hAnsi="Cambria Math"/>
                    <w:i/>
                    <w:highlight w:val="yellow"/>
                  </w:rPr>
                </m:ctrlPr>
              </m:dPr>
              <m:e>
                <m:r>
                  <m:rPr>
                    <m:sty m:val="p"/>
                  </m:rPr>
                  <w:rPr>
                    <w:rFonts w:ascii="Cambria Math" w:eastAsiaTheme="minorEastAsia" w:hAnsi="Cambria Math"/>
                    <w:highlight w:val="yellow"/>
                  </w:rPr>
                  <m:t>RL</m:t>
                </m:r>
              </m:e>
            </m:d>
          </m:e>
          <m:sub>
            <m:r>
              <w:rPr>
                <w:rFonts w:ascii="Cambria Math" w:eastAsiaTheme="minorEastAsia" w:hAnsi="Cambria Math"/>
                <w:highlight w:val="yellow"/>
              </w:rPr>
              <m:t>t0</m:t>
            </m:r>
          </m:sub>
        </m:sSub>
        <m:r>
          <w:rPr>
            <w:rFonts w:ascii="Cambria Math" w:eastAsiaTheme="minorEastAsia" w:hAnsi="Cambria Math"/>
            <w:highlight w:val="yellow"/>
          </w:rPr>
          <m:t>×</m:t>
        </m:r>
        <m:sSup>
          <m:sSupPr>
            <m:ctrlPr>
              <w:rPr>
                <w:rFonts w:ascii="Cambria Math" w:eastAsiaTheme="minorEastAsia" w:hAnsi="Cambria Math"/>
                <w:i/>
                <w:highlight w:val="yellow"/>
              </w:rPr>
            </m:ctrlPr>
          </m:sSupPr>
          <m:e>
            <m:r>
              <w:rPr>
                <w:rFonts w:ascii="Cambria Math" w:eastAsiaTheme="minorEastAsia" w:hAnsi="Cambria Math"/>
                <w:highlight w:val="yellow"/>
              </w:rPr>
              <m:t>e</m:t>
            </m:r>
          </m:e>
          <m:sup>
            <m:r>
              <w:rPr>
                <w:rFonts w:ascii="Cambria Math" w:eastAsiaTheme="minorEastAsia" w:hAnsi="Cambria Math"/>
                <w:highlight w:val="yellow"/>
              </w:rPr>
              <m:t>-</m:t>
            </m:r>
            <m:sSub>
              <m:sSubPr>
                <m:ctrlPr>
                  <w:rPr>
                    <w:rFonts w:ascii="Cambria Math" w:eastAsiaTheme="minorEastAsia" w:hAnsi="Cambria Math"/>
                    <w:i/>
                    <w:highlight w:val="yellow"/>
                  </w:rPr>
                </m:ctrlPr>
              </m:sSubPr>
              <m:e>
                <m:r>
                  <w:rPr>
                    <w:rFonts w:ascii="Cambria Math" w:eastAsiaTheme="minorEastAsia" w:hAnsi="Cambria Math"/>
                    <w:highlight w:val="yellow"/>
                  </w:rPr>
                  <m:t>k</m:t>
                </m:r>
              </m:e>
              <m:sub>
                <m:r>
                  <w:rPr>
                    <w:rFonts w:ascii="Cambria Math" w:eastAsiaTheme="minorEastAsia" w:hAnsi="Cambria Math"/>
                    <w:highlight w:val="yellow"/>
                  </w:rPr>
                  <m:t>2</m:t>
                </m:r>
              </m:sub>
            </m:sSub>
            <m:r>
              <w:rPr>
                <w:rFonts w:ascii="Cambria Math" w:eastAsiaTheme="minorEastAsia" w:hAnsi="Cambria Math"/>
                <w:highlight w:val="yellow"/>
              </w:rPr>
              <m:t>t</m:t>
            </m:r>
          </m:sup>
        </m:sSup>
      </m:oMath>
      <w:r w:rsidR="00477631">
        <w:rPr>
          <w:rFonts w:eastAsiaTheme="minorEastAsia"/>
        </w:rPr>
        <w:tab/>
      </w:r>
      <w:r w:rsidR="00D1209C" w:rsidRPr="00BE01EC">
        <w:rPr>
          <w:rStyle w:val="LabelorNumber"/>
        </w:rPr>
        <w:t>Eq. 2</w:t>
      </w:r>
    </w:p>
    <w:p w14:paraId="310D0251" w14:textId="79934E6D" w:rsidR="008A53FC" w:rsidRDefault="008A53FC" w:rsidP="00B601C2"/>
    <w:p w14:paraId="2334AF66" w14:textId="11D55E4C" w:rsidR="00B97618" w:rsidRDefault="00B97618" w:rsidP="00B601C2">
      <w:r>
        <w:t>This equation is used to analyze dissociation time course data (</w:t>
      </w:r>
      <w:r w:rsidR="00900795">
        <w:t>Figure</w:t>
      </w:r>
      <w:r>
        <w:t xml:space="preserve"> 2B). [RL] is the </w:t>
      </w:r>
      <w:r w:rsidRPr="00B97618">
        <w:t>y</w:t>
      </w:r>
      <w:r>
        <w:t xml:space="preserve"> value, </w:t>
      </w:r>
      <m:oMath>
        <m:r>
          <w:rPr>
            <w:rFonts w:ascii="Cambria Math" w:hAnsi="Cambria Math"/>
          </w:rPr>
          <m:t>t</m:t>
        </m:r>
      </m:oMath>
      <w:r>
        <w:t xml:space="preserve"> is the </w:t>
      </w:r>
      <w:r w:rsidRPr="00B97618">
        <w:t>x</w:t>
      </w:r>
      <w:r>
        <w:t xml:space="preserve"> value, and </w:t>
      </w:r>
      <w:r>
        <w:rPr>
          <w:i/>
          <w:iCs/>
        </w:rPr>
        <w:t>k</w:t>
      </w:r>
      <w:r>
        <w:rPr>
          <w:vertAlign w:val="subscript"/>
        </w:rPr>
        <w:t>2</w:t>
      </w:r>
      <w:r>
        <w:t xml:space="preserve"> and [RL</w:t>
      </w:r>
      <w:proofErr w:type="gramStart"/>
      <w:r>
        <w:t>]</w:t>
      </w:r>
      <w:r>
        <w:rPr>
          <w:i/>
          <w:iCs/>
          <w:vertAlign w:val="subscript"/>
        </w:rPr>
        <w:t>t</w:t>
      </w:r>
      <w:r>
        <w:rPr>
          <w:vertAlign w:val="subscript"/>
        </w:rPr>
        <w:t>0</w:t>
      </w:r>
      <w:proofErr w:type="gramEnd"/>
      <w:r>
        <w:t xml:space="preserve"> are the fitted parameters.</w:t>
      </w:r>
      <w:r w:rsidR="00835A39">
        <w:t xml:space="preserve"> In Prism, Eq. 2 is named “One-phase decay.” </w:t>
      </w:r>
      <w:r w:rsidR="00D42632">
        <w:t xml:space="preserve">(43) </w:t>
      </w:r>
    </w:p>
    <w:p w14:paraId="4A077000" w14:textId="1A607CCE" w:rsidR="003A600D" w:rsidRDefault="003A600D"/>
    <w:p w14:paraId="66EBF98D" w14:textId="127EEDEE" w:rsidR="00406A0E" w:rsidRDefault="00D65B90" w:rsidP="00003ED8">
      <w:pPr>
        <w:pStyle w:val="Heading3"/>
      </w:pPr>
      <w:r>
        <w:t>Competition Kinetics E</w:t>
      </w:r>
      <w:r w:rsidR="003A600D">
        <w:t>quation</w:t>
      </w:r>
      <w:r w:rsidR="00406A0E">
        <w:t>s</w:t>
      </w:r>
    </w:p>
    <w:p w14:paraId="589B1354" w14:textId="1E0D9ED4" w:rsidR="00A02C49" w:rsidRDefault="00A02C49">
      <w:r>
        <w:tab/>
        <w:t xml:space="preserve">In the competition kinetics assay, an unlabeled compound is competed against a labeled tracer ligand for binding to the </w:t>
      </w:r>
      <w:r w:rsidR="00C23549">
        <w:t>target</w:t>
      </w:r>
      <w:r>
        <w:t>. The analysis assumes the two ligands bind the same site on the target and that the binding events are simple single-site, single-step reversible interactions.</w:t>
      </w:r>
      <w:r w:rsidR="007D374E">
        <w:t xml:space="preserve"> The equation</w:t>
      </w:r>
      <w:r w:rsidR="00406A0E">
        <w:t>s</w:t>
      </w:r>
      <w:r w:rsidR="007D374E">
        <w:t xml:space="preserve"> assume minimal depletion of the free ligand concentration (</w:t>
      </w:r>
      <w:r w:rsidR="00035CE1">
        <w:t xml:space="preserve">for both the </w:t>
      </w:r>
      <w:r w:rsidR="007D374E">
        <w:t>labeled and unlabeled ligand)</w:t>
      </w:r>
      <w:r w:rsidR="00406A0E">
        <w:t xml:space="preserve">. </w:t>
      </w:r>
      <w:r>
        <w:t xml:space="preserve">The mechanism is illustrated in </w:t>
      </w:r>
      <w:r w:rsidR="00900795">
        <w:t>Figure</w:t>
      </w:r>
      <w:r>
        <w:t xml:space="preserve"> 4 and shown schematically below:</w:t>
      </w:r>
    </w:p>
    <w:p w14:paraId="27ED0761" w14:textId="5C39E485" w:rsidR="00A02C49" w:rsidRDefault="00A02C49"/>
    <w:p w14:paraId="34009A95" w14:textId="59E4DCAD" w:rsidR="008F25AB" w:rsidRDefault="00C119F5" w:rsidP="0042324D">
      <w:pPr>
        <w:pStyle w:val="Equation"/>
      </w:pPr>
      <w:r>
        <w:rPr>
          <w:noProof/>
        </w:rPr>
        <w:drawing>
          <wp:inline distT="0" distB="0" distL="0" distR="0" wp14:anchorId="3BF2AFEA" wp14:editId="701DDFBB">
            <wp:extent cx="1420368" cy="987552"/>
            <wp:effectExtent l="0" t="0" r="889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heme 3 on page 37_10pc300dpi.jpg"/>
                    <pic:cNvPicPr/>
                  </pic:nvPicPr>
                  <pic:blipFill>
                    <a:blip r:embed="rId34">
                      <a:extLst>
                        <a:ext uri="{28A0092B-C50C-407E-A947-70E740481C1C}">
                          <a14:useLocalDpi xmlns:a14="http://schemas.microsoft.com/office/drawing/2010/main" val="0"/>
                        </a:ext>
                      </a:extLst>
                    </a:blip>
                    <a:stretch>
                      <a:fillRect/>
                    </a:stretch>
                  </pic:blipFill>
                  <pic:spPr>
                    <a:xfrm>
                      <a:off x="0" y="0"/>
                      <a:ext cx="1420368" cy="987552"/>
                    </a:xfrm>
                    <a:prstGeom prst="rect">
                      <a:avLst/>
                    </a:prstGeom>
                  </pic:spPr>
                </pic:pic>
              </a:graphicData>
            </a:graphic>
          </wp:inline>
        </w:drawing>
      </w:r>
    </w:p>
    <w:p w14:paraId="0C1B6D7B" w14:textId="77777777" w:rsidR="008F25AB" w:rsidRDefault="008F25AB" w:rsidP="008F25AB">
      <w:pPr>
        <w:jc w:val="center"/>
      </w:pPr>
    </w:p>
    <w:p w14:paraId="663AAF5B" w14:textId="03077ED5" w:rsidR="008F25AB" w:rsidRPr="008F25AB" w:rsidRDefault="008F25AB" w:rsidP="008F25AB">
      <w:pPr>
        <w:jc w:val="center"/>
        <w:rPr>
          <w:b/>
          <w:bCs/>
        </w:rPr>
      </w:pPr>
      <w:r w:rsidRPr="008F25AB">
        <w:rPr>
          <w:b/>
          <w:bCs/>
        </w:rPr>
        <w:t>Scheme 3</w:t>
      </w:r>
    </w:p>
    <w:p w14:paraId="5199714B" w14:textId="77777777" w:rsidR="008F25AB" w:rsidRDefault="008F25AB" w:rsidP="008F25AB">
      <w:pPr>
        <w:jc w:val="center"/>
      </w:pPr>
    </w:p>
    <w:p w14:paraId="1281E364" w14:textId="6FAD590F" w:rsidR="00A02C49" w:rsidRDefault="00A02C49">
      <w:r>
        <w:t xml:space="preserve">By convention, </w:t>
      </w:r>
      <w:r w:rsidR="00431CB2" w:rsidRPr="001503F1">
        <w:rPr>
          <w:i/>
          <w:iCs/>
        </w:rPr>
        <w:t>k</w:t>
      </w:r>
      <w:r w:rsidR="00431CB2" w:rsidRPr="001503F1">
        <w:rPr>
          <w:vertAlign w:val="subscript"/>
        </w:rPr>
        <w:t>1</w:t>
      </w:r>
      <w:r>
        <w:t xml:space="preserve"> and </w:t>
      </w:r>
      <w:proofErr w:type="gramStart"/>
      <w:r w:rsidR="006B589F">
        <w:rPr>
          <w:i/>
          <w:iCs/>
        </w:rPr>
        <w:t>k</w:t>
      </w:r>
      <w:r w:rsidR="006B589F" w:rsidRPr="006B589F">
        <w:rPr>
          <w:vertAlign w:val="subscript"/>
        </w:rPr>
        <w:t>2</w:t>
      </w:r>
      <w:proofErr w:type="gramEnd"/>
      <w:r>
        <w:t xml:space="preserve"> are the association and dissociation rate constants, respectively, of the labeled ligand (L), with </w:t>
      </w:r>
      <w:r w:rsidR="00431CB2" w:rsidRPr="00431CB2">
        <w:rPr>
          <w:i/>
          <w:iCs/>
        </w:rPr>
        <w:t>k</w:t>
      </w:r>
      <w:r w:rsidR="00431CB2" w:rsidRPr="00431CB2">
        <w:rPr>
          <w:vertAlign w:val="subscript"/>
        </w:rPr>
        <w:t>3</w:t>
      </w:r>
      <w:r>
        <w:t xml:space="preserve"> and </w:t>
      </w:r>
      <w:r w:rsidR="00431CB2" w:rsidRPr="00431CB2">
        <w:rPr>
          <w:i/>
          <w:iCs/>
        </w:rPr>
        <w:t>k</w:t>
      </w:r>
      <w:r w:rsidR="00431CB2" w:rsidRPr="00431CB2">
        <w:rPr>
          <w:vertAlign w:val="subscript"/>
        </w:rPr>
        <w:t>4</w:t>
      </w:r>
      <w:r>
        <w:t xml:space="preserve"> being the corresponding rates for the unlabeled test ligand (I).</w:t>
      </w:r>
    </w:p>
    <w:p w14:paraId="1EAAB844" w14:textId="166BC420" w:rsidR="00406A0E" w:rsidRDefault="00406A0E"/>
    <w:p w14:paraId="6FD31B66" w14:textId="6DC1A8FA" w:rsidR="00406A0E" w:rsidRPr="00406A0E" w:rsidRDefault="00D65B90" w:rsidP="00003ED8">
      <w:pPr>
        <w:pStyle w:val="Heading4"/>
      </w:pPr>
      <w:bookmarkStart w:id="26" w:name="_Original_Competition_Kinetics"/>
      <w:bookmarkEnd w:id="26"/>
      <w:r>
        <w:t>Original Competition Kinetics E</w:t>
      </w:r>
      <w:r w:rsidR="00406A0E">
        <w:t>quation</w:t>
      </w:r>
    </w:p>
    <w:p w14:paraId="6F7DCC9C" w14:textId="378FFAE0" w:rsidR="00A02C49" w:rsidRDefault="00406A0E" w:rsidP="00406A0E">
      <w:r>
        <w:tab/>
        <w:t xml:space="preserve">In the original, commonly-used method, target is exposed simultaneously to both ligands (i.e. the target is added last to the assay). </w:t>
      </w:r>
      <w:r w:rsidR="00A02C49">
        <w:t xml:space="preserve">The data </w:t>
      </w:r>
      <w:r w:rsidR="00035CE1">
        <w:t xml:space="preserve">take the form of the </w:t>
      </w:r>
      <w:r w:rsidR="00A02C49">
        <w:t>time course of labeled ligand binding in the presence of the unlabeled compound (</w:t>
      </w:r>
      <w:r w:rsidR="00900795">
        <w:t>Figure</w:t>
      </w:r>
      <w:r w:rsidR="00A02C49">
        <w:t xml:space="preserve"> 6). The equation describing these data is a bi-exponential equation and is rather complex to the uninitiated</w:t>
      </w:r>
      <w:r>
        <w:t xml:space="preserve"> investigator</w:t>
      </w:r>
      <w:r w:rsidR="00A02C49">
        <w:t>, but it is a straightforward analytical equation where</w:t>
      </w:r>
      <w:r w:rsidR="00035CE1">
        <w:t xml:space="preserve"> [RL]</w:t>
      </w:r>
      <w:r w:rsidR="00A02C49">
        <w:t xml:space="preserve"> is a function of time and mechanism parameters. It has been loaded as a built-in equation in Prism </w:t>
      </w:r>
      <w:r w:rsidR="00604670">
        <w:t>(named “Kinetics of competitive binding”</w:t>
      </w:r>
      <w:r w:rsidR="00D42632">
        <w:t xml:space="preserve"> (48)</w:t>
      </w:r>
      <w:r w:rsidR="00604670">
        <w:t xml:space="preserve">) </w:t>
      </w:r>
      <w:r w:rsidR="00A02C49">
        <w:t>so it isn’t ne</w:t>
      </w:r>
      <w:r w:rsidR="00035CE1">
        <w:t>cessary</w:t>
      </w:r>
      <w:r w:rsidR="00A02C49">
        <w:t xml:space="preserve"> to enter it </w:t>
      </w:r>
      <w:r w:rsidR="00187B96">
        <w:t xml:space="preserve">manually </w:t>
      </w:r>
      <w:r w:rsidR="00A02C49">
        <w:t>when using this program. The equation</w:t>
      </w:r>
      <w:r w:rsidR="00E9025E">
        <w:t>, Eq. 4</w:t>
      </w:r>
      <w:r w:rsidR="00035CE1">
        <w:t>,</w:t>
      </w:r>
      <w:r w:rsidR="00A02C49">
        <w:t xml:space="preserve"> is:</w:t>
      </w:r>
    </w:p>
    <w:p w14:paraId="77C7B492" w14:textId="77777777" w:rsidR="00A02C49" w:rsidRDefault="00A02C49" w:rsidP="00A02C49">
      <w:pPr>
        <w:ind w:firstLine="720"/>
      </w:pPr>
    </w:p>
    <w:bookmarkStart w:id="27" w:name="_Hlk485459553"/>
    <w:p w14:paraId="1EF306F9" w14:textId="0B92DC9F" w:rsidR="00187B96" w:rsidRPr="00BE01EC" w:rsidRDefault="00CF1AF2" w:rsidP="00BE01EC">
      <w:pPr>
        <w:pStyle w:val="Equation"/>
        <w:rPr>
          <w:rStyle w:val="LabelorNumber"/>
        </w:rPr>
      </w:pPr>
      <m:oMath>
        <m:d>
          <m:dPr>
            <m:begChr m:val="["/>
            <m:endChr m:val="]"/>
            <m:ctrlPr>
              <w:rPr>
                <w:rFonts w:ascii="Cambria Math" w:eastAsiaTheme="minorEastAsia" w:hAnsi="Cambria Math"/>
              </w:rPr>
            </m:ctrlPr>
          </m:dPr>
          <m:e>
            <m:r>
              <m:rPr>
                <m:sty m:val="p"/>
              </m:rPr>
              <w:rPr>
                <w:rFonts w:ascii="Cambria Math" w:eastAsiaTheme="minorEastAsia" w:hAnsi="Cambria Math"/>
              </w:rPr>
              <m:t>RL</m:t>
            </m:r>
          </m:e>
        </m:d>
        <m:r>
          <m:rPr>
            <m:sty m:val="p"/>
          </m:rP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max</m:t>
                </m:r>
              </m:sub>
            </m:sSub>
            <m:d>
              <m:dPr>
                <m:begChr m:val="["/>
                <m:endChr m:val="]"/>
                <m:ctrlPr>
                  <w:rPr>
                    <w:rFonts w:ascii="Cambria Math" w:eastAsiaTheme="minorEastAsia" w:hAnsi="Cambria Math"/>
                    <w:iCs/>
                  </w:rPr>
                </m:ctrlPr>
              </m:dPr>
              <m:e>
                <m:r>
                  <m:rPr>
                    <m:sty m:val="p"/>
                  </m:rPr>
                  <w:rPr>
                    <w:rFonts w:ascii="Cambria Math" w:eastAsiaTheme="minorEastAsia" w:hAnsi="Cambria Math"/>
                  </w:rPr>
                  <m:t>L</m:t>
                </m:r>
              </m:e>
            </m:d>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1</m:t>
                </m:r>
              </m:sub>
            </m:sSub>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den>
        </m:f>
        <m:d>
          <m:dPr>
            <m:begChr m:val="["/>
            <m:endChr m:val="]"/>
            <m:ctrlPr>
              <w:rPr>
                <w:rFonts w:ascii="Cambria Math" w:eastAsiaTheme="minorEastAsia" w:hAnsi="Cambria Math"/>
              </w:rPr>
            </m:ctrlPr>
          </m:dPr>
          <m:e>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4</m:t>
                    </m:r>
                  </m:sub>
                </m:sSub>
                <m:d>
                  <m:dPr>
                    <m:ctrlPr>
                      <w:rPr>
                        <w:rFonts w:ascii="Cambria Math" w:eastAsiaTheme="minorEastAsia" w:hAnsi="Cambria Math"/>
                      </w:rPr>
                    </m:ctrlPr>
                  </m:dPr>
                  <m:e>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e>
                </m:d>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den>
            </m:f>
            <m:r>
              <m:rPr>
                <m:sty m:val="p"/>
              </m:rPr>
              <w:rPr>
                <w:rFonts w:ascii="Cambria Math" w:eastAsiaTheme="minorEastAsia" w:hAnsi="Cambria Math"/>
              </w:rPr>
              <m:t>+</m:t>
            </m:r>
            <m:f>
              <m:fPr>
                <m:ctrlPr>
                  <w:rPr>
                    <w:rFonts w:ascii="Cambria Math" w:eastAsiaTheme="minorEastAsia" w:hAnsi="Cambria Math"/>
                  </w:rPr>
                </m:ctrlPr>
              </m:fPr>
              <m:num>
                <m:d>
                  <m:dPr>
                    <m:begChr m:val=""/>
                    <m:endChr m:val=""/>
                    <m:ctrlPr>
                      <w:rPr>
                        <w:rFonts w:ascii="Cambria Math" w:eastAsiaTheme="minorEastAsia" w:hAnsi="Cambria Math"/>
                      </w:rPr>
                    </m:ctrlPr>
                  </m:dPr>
                  <m:e>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4</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e>
                </m:d>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den>
            </m:f>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w:rPr>
                    <w:rFonts w:ascii="Cambria Math" w:eastAsiaTheme="minorEastAsia" w:hAnsi="Cambria Math"/>
                  </w:rPr>
                  <m:t>t</m:t>
                </m:r>
              </m:sup>
            </m:sSup>
            <m:r>
              <m:rPr>
                <m:sty m:val="p"/>
              </m:rPr>
              <w:rPr>
                <w:rFonts w:ascii="Cambria Math" w:eastAsiaTheme="minorEastAsia" w:hAnsi="Cambria Math"/>
              </w:rPr>
              <m:t>-</m:t>
            </m:r>
            <m:f>
              <m:fPr>
                <m:ctrlPr>
                  <w:rPr>
                    <w:rFonts w:ascii="Cambria Math" w:eastAsiaTheme="minorEastAsia" w:hAnsi="Cambria Math"/>
                  </w:rPr>
                </m:ctrlPr>
              </m:fPr>
              <m:num>
                <m:d>
                  <m:dPr>
                    <m:begChr m:val=""/>
                    <m:endChr m:val=""/>
                    <m:ctrlPr>
                      <w:rPr>
                        <w:rFonts w:ascii="Cambria Math" w:eastAsiaTheme="minorEastAsia" w:hAnsi="Cambria Math"/>
                      </w:rPr>
                    </m:ctrlPr>
                  </m:dPr>
                  <m:e>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4</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e>
                </m:d>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den>
            </m:f>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r>
                  <w:rPr>
                    <w:rFonts w:ascii="Cambria Math" w:eastAsiaTheme="minorEastAsia" w:hAnsi="Cambria Math"/>
                  </w:rPr>
                  <m:t>t</m:t>
                </m:r>
              </m:sup>
            </m:sSup>
          </m:e>
        </m:d>
      </m:oMath>
      <w:r w:rsidR="00477631">
        <w:rPr>
          <w:rFonts w:eastAsiaTheme="minorEastAsia"/>
        </w:rPr>
        <w:tab/>
      </w:r>
      <w:r w:rsidR="00035CE1" w:rsidRPr="00BE01EC">
        <w:rPr>
          <w:rStyle w:val="LabelorNumber"/>
          <w:rFonts w:eastAsiaTheme="minorEastAsia"/>
        </w:rPr>
        <w:t>Eq. 4</w:t>
      </w:r>
    </w:p>
    <w:bookmarkEnd w:id="27"/>
    <w:p w14:paraId="46F494F3" w14:textId="77777777" w:rsidR="00035CE1" w:rsidRDefault="00035CE1" w:rsidP="00187B96"/>
    <w:p w14:paraId="7E699F24" w14:textId="095CC4BF" w:rsidR="00187B96" w:rsidRDefault="00187B96" w:rsidP="00187B96">
      <w:proofErr w:type="gramStart"/>
      <w:r>
        <w:t>where</w:t>
      </w:r>
      <w:proofErr w:type="gramEnd"/>
      <w:r>
        <w:t>,</w:t>
      </w:r>
    </w:p>
    <w:p w14:paraId="5128C817" w14:textId="0C671273" w:rsidR="00187B96" w:rsidRPr="00EC5B1B" w:rsidRDefault="00CF1AF2" w:rsidP="00BE01EC">
      <w:pPr>
        <w:pStyle w:val="Equation"/>
      </w:pPr>
      <m:oMathPara>
        <m:oMath>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m:rPr>
              <m:sty m:val="p"/>
            </m:rPr>
            <w:rPr>
              <w:rFonts w:ascii="Cambria Math" w:eastAsiaTheme="minorEastAsia" w:hAnsi="Cambria Math" w:cs="Cambria Math"/>
            </w:rPr>
            <m:t>=0.5</m:t>
          </m:r>
          <m:d>
            <m:dPr>
              <m:begChr m:val="{"/>
              <m:endChr m:val="}"/>
              <m:ctrlPr>
                <w:rPr>
                  <w:rFonts w:ascii="Cambria Math" w:eastAsiaTheme="minorEastAsia" w:hAnsi="Cambria Math" w:cs="Cambria Math"/>
                </w:rPr>
              </m:ctrlPr>
            </m:dPr>
            <m:e>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A</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B</m:t>
                  </m:r>
                </m:sub>
              </m:sSub>
              <m:r>
                <m:rPr>
                  <m:sty m:val="p"/>
                </m:rPr>
                <w:rPr>
                  <w:rFonts w:ascii="Cambria Math" w:eastAsiaTheme="minorEastAsia" w:hAnsi="Cambria Math" w:cs="Cambria Math"/>
                </w:rPr>
                <m:t>+</m:t>
              </m:r>
              <m:rad>
                <m:radPr>
                  <m:degHide m:val="1"/>
                  <m:ctrlPr>
                    <w:rPr>
                      <w:rFonts w:ascii="Cambria Math" w:eastAsiaTheme="minorEastAsia" w:hAnsi="Cambria Math" w:cs="Cambria Math"/>
                    </w:rPr>
                  </m:ctrlPr>
                </m:radPr>
                <m:deg/>
                <m:e>
                  <m:sSup>
                    <m:sSupPr>
                      <m:ctrlPr>
                        <w:rPr>
                          <w:rFonts w:ascii="Cambria Math" w:eastAsiaTheme="minorEastAsia" w:hAnsi="Cambria Math" w:cs="Cambria Math"/>
                        </w:rPr>
                      </m:ctrlPr>
                    </m:sSupPr>
                    <m:e>
                      <m:d>
                        <m:dPr>
                          <m:ctrlPr>
                            <w:rPr>
                              <w:rFonts w:ascii="Cambria Math" w:eastAsiaTheme="minorEastAsia" w:hAnsi="Cambria Math" w:cs="Cambria Math"/>
                            </w:rPr>
                          </m:ctrlPr>
                        </m:dPr>
                        <m:e>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A</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B</m:t>
                              </m:r>
                            </m:sub>
                          </m:sSub>
                        </m:e>
                      </m:d>
                    </m:e>
                    <m:sup>
                      <m:r>
                        <m:rPr>
                          <m:sty m:val="p"/>
                        </m:rPr>
                        <w:rPr>
                          <w:rFonts w:ascii="Cambria Math" w:eastAsiaTheme="minorEastAsia" w:hAnsi="Cambria Math" w:cs="Cambria Math"/>
                        </w:rPr>
                        <m:t>2</m:t>
                      </m:r>
                    </m:sup>
                  </m:sSup>
                  <m:r>
                    <m:rPr>
                      <m:sty m:val="p"/>
                    </m:rPr>
                    <w:rPr>
                      <w:rFonts w:ascii="Cambria Math" w:eastAsiaTheme="minorEastAsia" w:hAnsi="Cambria Math" w:cs="Cambria Math"/>
                    </w:rPr>
                    <m:t>+4</m:t>
                  </m:r>
                  <m:d>
                    <m:dPr>
                      <m:begChr m:val="["/>
                      <m:endChr m:val="]"/>
                      <m:ctrlPr>
                        <w:rPr>
                          <w:rFonts w:ascii="Cambria Math" w:eastAsiaTheme="minorEastAsia" w:hAnsi="Cambria Math"/>
                          <w:iCs/>
                        </w:rPr>
                      </m:ctrlPr>
                    </m:dPr>
                    <m:e>
                      <m:r>
                        <m:rPr>
                          <m:sty m:val="p"/>
                        </m:rPr>
                        <w:rPr>
                          <w:rFonts w:ascii="Cambria Math" w:eastAsiaTheme="minorEastAsia" w:hAnsi="Cambria Math"/>
                        </w:rPr>
                        <m:t>L</m:t>
                      </m:r>
                    </m:e>
                  </m:d>
                  <m:d>
                    <m:dPr>
                      <m:begChr m:val="["/>
                      <m:endChr m:val="]"/>
                      <m:ctrlPr>
                        <w:rPr>
                          <w:rFonts w:ascii="Cambria Math" w:eastAsiaTheme="minorEastAsia" w:hAnsi="Cambria Math"/>
                          <w:iCs/>
                        </w:rPr>
                      </m:ctrlPr>
                    </m:dPr>
                    <m:e>
                      <m:r>
                        <m:rPr>
                          <m:sty m:val="p"/>
                        </m:rPr>
                        <w:rPr>
                          <w:rFonts w:ascii="Cambria Math" w:eastAsiaTheme="minorEastAsia" w:hAnsi="Cambria Math"/>
                        </w:rPr>
                        <m:t>I</m:t>
                      </m:r>
                    </m:e>
                  </m:d>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1</m:t>
                      </m:r>
                    </m:sub>
                  </m:sSub>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3</m:t>
                      </m:r>
                    </m:sub>
                  </m:sSub>
                </m:e>
              </m:rad>
            </m:e>
          </m:d>
        </m:oMath>
      </m:oMathPara>
    </w:p>
    <w:p w14:paraId="24910DF9" w14:textId="77777777" w:rsidR="00187B96" w:rsidRPr="00A45EA9" w:rsidRDefault="00CF1AF2" w:rsidP="00BE01EC">
      <w:pPr>
        <w:pStyle w:val="Equation"/>
      </w:pPr>
      <m:oMathPara>
        <m:oMath>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r>
            <m:rPr>
              <m:sty m:val="p"/>
            </m:rPr>
            <w:rPr>
              <w:rFonts w:ascii="Cambria Math" w:eastAsiaTheme="minorEastAsia" w:hAnsi="Cambria Math" w:cs="Cambria Math"/>
            </w:rPr>
            <m:t>=0.5</m:t>
          </m:r>
          <m:d>
            <m:dPr>
              <m:begChr m:val="{"/>
              <m:endChr m:val="}"/>
              <m:ctrlPr>
                <w:rPr>
                  <w:rFonts w:ascii="Cambria Math" w:eastAsiaTheme="minorEastAsia" w:hAnsi="Cambria Math" w:cs="Cambria Math"/>
                </w:rPr>
              </m:ctrlPr>
            </m:dPr>
            <m:e>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A</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B</m:t>
                  </m:r>
                </m:sub>
              </m:sSub>
              <m:r>
                <m:rPr>
                  <m:sty m:val="p"/>
                </m:rPr>
                <w:rPr>
                  <w:rFonts w:ascii="Cambria Math" w:eastAsiaTheme="minorEastAsia" w:hAnsi="Cambria Math" w:cs="Cambria Math"/>
                </w:rPr>
                <m:t>-</m:t>
              </m:r>
              <m:rad>
                <m:radPr>
                  <m:degHide m:val="1"/>
                  <m:ctrlPr>
                    <w:rPr>
                      <w:rFonts w:ascii="Cambria Math" w:eastAsiaTheme="minorEastAsia" w:hAnsi="Cambria Math" w:cs="Cambria Math"/>
                    </w:rPr>
                  </m:ctrlPr>
                </m:radPr>
                <m:deg/>
                <m:e>
                  <m:sSup>
                    <m:sSupPr>
                      <m:ctrlPr>
                        <w:rPr>
                          <w:rFonts w:ascii="Cambria Math" w:eastAsiaTheme="minorEastAsia" w:hAnsi="Cambria Math" w:cs="Cambria Math"/>
                        </w:rPr>
                      </m:ctrlPr>
                    </m:sSupPr>
                    <m:e>
                      <m:d>
                        <m:dPr>
                          <m:ctrlPr>
                            <w:rPr>
                              <w:rFonts w:ascii="Cambria Math" w:eastAsiaTheme="minorEastAsia" w:hAnsi="Cambria Math" w:cs="Cambria Math"/>
                            </w:rPr>
                          </m:ctrlPr>
                        </m:dPr>
                        <m:e>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A</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B</m:t>
                              </m:r>
                            </m:sub>
                          </m:sSub>
                        </m:e>
                      </m:d>
                    </m:e>
                    <m:sup>
                      <m:r>
                        <m:rPr>
                          <m:sty m:val="p"/>
                        </m:rPr>
                        <w:rPr>
                          <w:rFonts w:ascii="Cambria Math" w:eastAsiaTheme="minorEastAsia" w:hAnsi="Cambria Math" w:cs="Cambria Math"/>
                        </w:rPr>
                        <m:t>2</m:t>
                      </m:r>
                    </m:sup>
                  </m:sSup>
                  <m:r>
                    <m:rPr>
                      <m:sty m:val="p"/>
                    </m:rPr>
                    <w:rPr>
                      <w:rFonts w:ascii="Cambria Math" w:eastAsiaTheme="minorEastAsia" w:hAnsi="Cambria Math" w:cs="Cambria Math"/>
                    </w:rPr>
                    <m:t>+4</m:t>
                  </m:r>
                  <m:d>
                    <m:dPr>
                      <m:begChr m:val="["/>
                      <m:endChr m:val="]"/>
                      <m:ctrlPr>
                        <w:rPr>
                          <w:rFonts w:ascii="Cambria Math" w:eastAsiaTheme="minorEastAsia" w:hAnsi="Cambria Math"/>
                        </w:rPr>
                      </m:ctrlPr>
                    </m:dPr>
                    <m:e>
                      <m:r>
                        <w:rPr>
                          <w:rFonts w:ascii="Cambria Math" w:eastAsiaTheme="minorEastAsia" w:hAnsi="Cambria Math"/>
                        </w:rPr>
                        <m:t>L</m:t>
                      </m:r>
                    </m:e>
                  </m:d>
                  <m:d>
                    <m:dPr>
                      <m:begChr m:val="["/>
                      <m:endChr m:val="]"/>
                      <m:ctrlPr>
                        <w:rPr>
                          <w:rFonts w:ascii="Cambria Math" w:eastAsiaTheme="minorEastAsia" w:hAnsi="Cambria Math"/>
                        </w:rPr>
                      </m:ctrlPr>
                    </m:dPr>
                    <m:e>
                      <m:r>
                        <w:rPr>
                          <w:rFonts w:ascii="Cambria Math" w:eastAsiaTheme="minorEastAsia" w:hAnsi="Cambria Math"/>
                        </w:rPr>
                        <m:t>I</m:t>
                      </m:r>
                    </m:e>
                  </m:d>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1</m:t>
                      </m:r>
                    </m:sub>
                  </m:sSub>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3</m:t>
                      </m:r>
                    </m:sub>
                  </m:sSub>
                </m:e>
              </m:rad>
            </m:e>
          </m:d>
        </m:oMath>
      </m:oMathPara>
    </w:p>
    <w:p w14:paraId="6BD1C758" w14:textId="2BE38A8D" w:rsidR="00187B96" w:rsidRPr="001C01DC" w:rsidRDefault="00CF1AF2" w:rsidP="00BE01EC">
      <w:pPr>
        <w:pStyle w:val="Equation"/>
      </w:pPr>
      <m:oMathPara>
        <m:oMath>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A</m:t>
              </m:r>
            </m:sub>
          </m:sSub>
          <m:r>
            <m:rPr>
              <m:sty m:val="p"/>
            </m:rPr>
            <w:rPr>
              <w:rFonts w:ascii="Cambria Math" w:eastAsiaTheme="minorEastAsia" w:hAnsi="Cambria Math"/>
            </w:rPr>
            <m:t>=</m:t>
          </m:r>
          <m:d>
            <m:dPr>
              <m:begChr m:val="["/>
              <m:endChr m:val="]"/>
              <m:ctrlPr>
                <w:rPr>
                  <w:rFonts w:ascii="Cambria Math" w:eastAsiaTheme="minorEastAsia" w:hAnsi="Cambria Math"/>
                </w:rPr>
              </m:ctrlPr>
            </m:dPr>
            <m:e>
              <m:r>
                <m:rPr>
                  <m:sty m:val="p"/>
                </m:rPr>
                <w:rPr>
                  <w:rFonts w:ascii="Cambria Math" w:eastAsiaTheme="minorEastAsia" w:hAnsi="Cambria Math"/>
                </w:rPr>
                <m:t>L</m:t>
              </m:r>
            </m:e>
          </m:d>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1</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2</m:t>
              </m:r>
            </m:sub>
          </m:sSub>
        </m:oMath>
      </m:oMathPara>
    </w:p>
    <w:p w14:paraId="69D97C84" w14:textId="67F6BA38" w:rsidR="00187B96" w:rsidRPr="001228A7" w:rsidRDefault="00CF1AF2" w:rsidP="00BE01EC">
      <w:pPr>
        <w:pStyle w:val="Equation"/>
      </w:pPr>
      <m:oMathPara>
        <m:oMath>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B</m:t>
              </m:r>
            </m:sub>
          </m:sSub>
          <m:r>
            <m:rPr>
              <m:sty m:val="p"/>
            </m:rPr>
            <w:rPr>
              <w:rFonts w:ascii="Cambria Math" w:eastAsiaTheme="minorEastAsia" w:hAnsi="Cambria Math"/>
            </w:rPr>
            <m:t>=</m:t>
          </m:r>
          <m:d>
            <m:dPr>
              <m:begChr m:val="["/>
              <m:endChr m:val="]"/>
              <m:ctrlPr>
                <w:rPr>
                  <w:rFonts w:ascii="Cambria Math" w:eastAsiaTheme="minorEastAsia" w:hAnsi="Cambria Math"/>
                </w:rPr>
              </m:ctrlPr>
            </m:dPr>
            <m:e>
              <m:r>
                <m:rPr>
                  <m:sty m:val="p"/>
                </m:rPr>
                <w:rPr>
                  <w:rFonts w:ascii="Cambria Math" w:eastAsiaTheme="minorEastAsia" w:hAnsi="Cambria Math"/>
                </w:rPr>
                <m:t>I</m:t>
              </m:r>
            </m:e>
          </m:d>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3</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4</m:t>
              </m:r>
            </m:sub>
          </m:sSub>
        </m:oMath>
      </m:oMathPara>
    </w:p>
    <w:p w14:paraId="0A1A8CA1" w14:textId="77777777" w:rsidR="00187B96" w:rsidRDefault="00187B96" w:rsidP="00187B96"/>
    <w:p w14:paraId="6A241365" w14:textId="14E8CFEB" w:rsidR="00187B96" w:rsidRDefault="00214B96" w:rsidP="00187B96">
      <w:r>
        <w:lastRenderedPageBreak/>
        <w:t xml:space="preserve">Note </w:t>
      </w:r>
      <w:proofErr w:type="gramStart"/>
      <w:r>
        <w:t xml:space="preserve">that </w:t>
      </w:r>
      <w:proofErr w:type="gramEnd"/>
      <m:oMath>
        <m:sSub>
          <m:sSubPr>
            <m:ctrlPr>
              <w:rPr>
                <w:rFonts w:ascii="Cambria Math" w:hAnsi="Cambria Math"/>
                <w:i/>
              </w:rPr>
            </m:ctrlPr>
          </m:sSubPr>
          <m:e>
            <m:r>
              <w:rPr>
                <w:rFonts w:ascii="Cambria Math" w:hAnsi="Cambria Math"/>
              </w:rPr>
              <m:t>K</m:t>
            </m:r>
          </m:e>
          <m:sub>
            <m:r>
              <w:rPr>
                <w:rFonts w:ascii="Cambria Math" w:hAnsi="Cambria Math"/>
              </w:rPr>
              <m:t>F</m:t>
            </m:r>
          </m:sub>
        </m:sSub>
      </m:oMath>
      <w:r w:rsidR="00406A0E">
        <w:t xml:space="preserve">, </w:t>
      </w:r>
      <m:oMath>
        <m:sSub>
          <m:sSubPr>
            <m:ctrlPr>
              <w:rPr>
                <w:rFonts w:ascii="Cambria Math" w:hAnsi="Cambria Math"/>
                <w:i/>
              </w:rPr>
            </m:ctrlPr>
          </m:sSubPr>
          <m:e>
            <m:r>
              <w:rPr>
                <w:rFonts w:ascii="Cambria Math" w:hAnsi="Cambria Math"/>
              </w:rPr>
              <m:t>K</m:t>
            </m:r>
          </m:e>
          <m:sub>
            <m:r>
              <w:rPr>
                <w:rFonts w:ascii="Cambria Math" w:hAnsi="Cambria Math"/>
              </w:rPr>
              <m:t>S</m:t>
            </m:r>
          </m:sub>
        </m:sSub>
      </m:oMath>
      <w:r w:rsidR="00406A0E">
        <w:t xml:space="preserve">, </w:t>
      </w:r>
      <m:oMath>
        <m:sSub>
          <m:sSubPr>
            <m:ctrlPr>
              <w:rPr>
                <w:rFonts w:ascii="Cambria Math" w:hAnsi="Cambria Math"/>
                <w:i/>
              </w:rPr>
            </m:ctrlPr>
          </m:sSubPr>
          <m:e>
            <m:r>
              <w:rPr>
                <w:rFonts w:ascii="Cambria Math" w:hAnsi="Cambria Math"/>
              </w:rPr>
              <m:t>K</m:t>
            </m:r>
          </m:e>
          <m:sub>
            <m:r>
              <w:rPr>
                <w:rFonts w:ascii="Cambria Math" w:hAnsi="Cambria Math"/>
              </w:rPr>
              <m:t>A</m:t>
            </m:r>
          </m:sub>
        </m:sSub>
      </m:oMath>
      <w:r w:rsidR="00406A0E">
        <w:t xml:space="preserve"> and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rsidR="00406A0E">
        <w:t xml:space="preserve"> are composite parameters introduced to simplify writing of the equation into curve-fitting programs.</w:t>
      </w:r>
      <w:r w:rsidR="00035CE1">
        <w:t xml:space="preserve"> The original papers describing the equation are refs. </w:t>
      </w:r>
      <w:r w:rsidR="00D42632">
        <w:t>(18</w:t>
      </w:r>
      <w:proofErr w:type="gramStart"/>
      <w:r w:rsidR="00D42632">
        <w:t>,19</w:t>
      </w:r>
      <w:proofErr w:type="gramEnd"/>
      <w:r w:rsidR="00D42632">
        <w:t>)</w:t>
      </w:r>
      <w:r w:rsidR="00035CE1">
        <w:t xml:space="preserve"> and a detailed description of the mathematical methods used to derive it is in ref. </w:t>
      </w:r>
      <w:r w:rsidR="00D42632">
        <w:t xml:space="preserve">(53) </w:t>
      </w:r>
    </w:p>
    <w:p w14:paraId="4D23F50B" w14:textId="777C78E4" w:rsidR="00214B96" w:rsidRDefault="00214B96" w:rsidP="00187B96"/>
    <w:p w14:paraId="7D36B11F" w14:textId="1F7CA522" w:rsidR="00214B96" w:rsidRDefault="00214B96" w:rsidP="00003ED8">
      <w:pPr>
        <w:pStyle w:val="Heading4"/>
        <w:rPr>
          <w:rFonts w:eastAsiaTheme="minorEastAsia"/>
        </w:rPr>
      </w:pPr>
      <w:bookmarkStart w:id="28" w:name="_Adaptation_for_Rapidly-Dissociating"/>
      <w:bookmarkEnd w:id="28"/>
      <w:r>
        <w:rPr>
          <w:rFonts w:eastAsiaTheme="minorEastAsia"/>
        </w:rPr>
        <w:t xml:space="preserve">Adaptation </w:t>
      </w:r>
      <w:r w:rsidR="006D7706">
        <w:rPr>
          <w:rFonts w:eastAsiaTheme="minorEastAsia"/>
        </w:rPr>
        <w:t>f</w:t>
      </w:r>
      <w:r w:rsidR="00D65B90">
        <w:rPr>
          <w:rFonts w:eastAsiaTheme="minorEastAsia"/>
        </w:rPr>
        <w:t>or Rapidly-Dissociating Compounds</w:t>
      </w:r>
    </w:p>
    <w:p w14:paraId="06D9D8B9" w14:textId="45442EFE" w:rsidR="00604670" w:rsidRDefault="00214B96" w:rsidP="00604670">
      <w:pPr>
        <w:ind w:firstLine="720"/>
      </w:pPr>
      <w:r>
        <w:t xml:space="preserve">Occasionally </w:t>
      </w:r>
      <w:r w:rsidR="00765468">
        <w:t xml:space="preserve">the </w:t>
      </w:r>
      <w:r>
        <w:t xml:space="preserve">unlabeled test compound dissociates too rapidly for the analysis method to quantify </w:t>
      </w:r>
      <w:r w:rsidR="00431CB2" w:rsidRPr="00431CB2">
        <w:rPr>
          <w:i/>
          <w:iCs/>
        </w:rPr>
        <w:t>k</w:t>
      </w:r>
      <w:r w:rsidR="00431CB2" w:rsidRPr="00431CB2">
        <w:rPr>
          <w:vertAlign w:val="subscript"/>
        </w:rPr>
        <w:t>4</w:t>
      </w:r>
      <w:r>
        <w:t xml:space="preserve"> reliably (</w:t>
      </w:r>
      <w:hyperlink w:anchor="_Limits_of_Sensitivity" w:history="1">
        <w:r w:rsidR="00426499" w:rsidRPr="00426499">
          <w:rPr>
            <w:rStyle w:val="Hyperlink"/>
          </w:rPr>
          <w:t>Limits of Sensitivity</w:t>
        </w:r>
      </w:hyperlink>
      <w:r>
        <w:t>). A false fit results, where the program fits a curve t</w:t>
      </w:r>
      <w:r w:rsidR="00765468">
        <w:t>o</w:t>
      </w:r>
      <w:r>
        <w:t xml:space="preserve"> the data well, but that returns unrealistic estimates of </w:t>
      </w:r>
      <w:r w:rsidR="00431CB2" w:rsidRPr="00431CB2">
        <w:rPr>
          <w:i/>
          <w:iCs/>
        </w:rPr>
        <w:t>k</w:t>
      </w:r>
      <w:r w:rsidR="00431CB2" w:rsidRPr="00431CB2">
        <w:rPr>
          <w:vertAlign w:val="subscript"/>
        </w:rPr>
        <w:t>3</w:t>
      </w:r>
      <w:r>
        <w:t xml:space="preserve"> and </w:t>
      </w:r>
      <w:r w:rsidR="00431CB2" w:rsidRPr="00431CB2">
        <w:rPr>
          <w:i/>
          <w:iCs/>
        </w:rPr>
        <w:t>k</w:t>
      </w:r>
      <w:r w:rsidR="00431CB2" w:rsidRPr="00431CB2">
        <w:rPr>
          <w:vertAlign w:val="subscript"/>
        </w:rPr>
        <w:t>4</w:t>
      </w:r>
      <w:r>
        <w:t xml:space="preserve"> (see Box </w:t>
      </w:r>
      <w:r w:rsidR="00604670">
        <w:t>5, bottom graph and data table</w:t>
      </w:r>
      <w:r>
        <w:t xml:space="preserve">). </w:t>
      </w:r>
      <w:r w:rsidRPr="00214B96">
        <w:t xml:space="preserve">Effectively, the compound is immediately and constantly at equilibrium with free </w:t>
      </w:r>
      <w:r w:rsidR="00C23549">
        <w:t>target</w:t>
      </w:r>
      <w:r w:rsidR="00C23549" w:rsidRPr="00214B96">
        <w:t>s</w:t>
      </w:r>
      <w:r w:rsidRPr="00214B96">
        <w:t>.</w:t>
      </w:r>
      <w:r>
        <w:t xml:space="preserve"> The analysis method can be adapted to quantify the binding affinity of such a compound from the time course data. The equation for this analysis is</w:t>
      </w:r>
      <w:r w:rsidR="00604670">
        <w:t xml:space="preserve"> Eq. 5</w:t>
      </w:r>
      <w:r w:rsidR="00D42632">
        <w:t xml:space="preserve"> (</w:t>
      </w:r>
      <w:r w:rsidR="00D42632" w:rsidRPr="00402FB7">
        <w:rPr>
          <w:rStyle w:val="citebib"/>
        </w:rPr>
        <w:t>51-52</w:t>
      </w:r>
      <w:r w:rsidR="00D42632">
        <w:t>)</w:t>
      </w:r>
      <w:r w:rsidR="00604670">
        <w:t>:</w:t>
      </w:r>
    </w:p>
    <w:p w14:paraId="19960DC9" w14:textId="77777777" w:rsidR="00214B96" w:rsidRDefault="00214B96" w:rsidP="00214B96">
      <w:pPr>
        <w:ind w:firstLine="720"/>
      </w:pPr>
    </w:p>
    <w:p w14:paraId="3B547325" w14:textId="4614F79C" w:rsidR="00214B96" w:rsidRPr="00BE01EC" w:rsidRDefault="00CF1AF2" w:rsidP="00BE01EC">
      <w:pPr>
        <w:pStyle w:val="Equation"/>
        <w:rPr>
          <w:rStyle w:val="LabelorNumber"/>
        </w:rPr>
      </w:pPr>
      <m:oMath>
        <m:d>
          <m:dPr>
            <m:begChr m:val="["/>
            <m:endChr m:val="]"/>
            <m:ctrlPr>
              <w:rPr>
                <w:rFonts w:ascii="Cambria Math" w:eastAsiaTheme="minorEastAsia" w:hAnsi="Cambria Math"/>
                <w:iCs/>
              </w:rPr>
            </m:ctrlPr>
          </m:dPr>
          <m:e>
            <m:r>
              <m:rPr>
                <m:sty m:val="p"/>
              </m:rPr>
              <w:rPr>
                <w:rFonts w:ascii="Cambria Math" w:eastAsiaTheme="minorEastAsia" w:hAnsi="Cambria Math"/>
              </w:rPr>
              <m:t>RL</m:t>
            </m:r>
          </m:e>
        </m:d>
        <m:r>
          <m:rPr>
            <m:sty m:val="p"/>
          </m:rPr>
          <w:rPr>
            <w:rFonts w:ascii="Cambria Math" w:hAnsi="Cambria Math"/>
          </w:rPr>
          <m:t>=</m:t>
        </m:r>
        <m:f>
          <m:fPr>
            <m:ctrlPr>
              <w:rPr>
                <w:rFonts w:ascii="Cambria Math" w:hAnsi="Cambria Math"/>
              </w:rPr>
            </m:ctrlPr>
          </m:fPr>
          <m:num>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max</m:t>
                </m:r>
              </m:sub>
            </m:sSub>
            <m:d>
              <m:dPr>
                <m:begChr m:val="["/>
                <m:endChr m:val="]"/>
                <m:ctrlPr>
                  <w:rPr>
                    <w:rFonts w:ascii="Cambria Math" w:hAnsi="Cambria Math"/>
                    <w:iCs/>
                  </w:rPr>
                </m:ctrlPr>
              </m:dPr>
              <m:e>
                <m:r>
                  <m:rPr>
                    <m:sty m:val="p"/>
                  </m:rPr>
                  <w:rPr>
                    <w:rFonts w:ascii="Cambria Math" w:hAnsi="Cambria Math"/>
                  </w:rPr>
                  <m:t>L</m:t>
                </m:r>
              </m:e>
            </m:d>
            <m:sSub>
              <m:sSubPr>
                <m:ctrlPr>
                  <w:rPr>
                    <w:rFonts w:ascii="Cambria Math" w:hAnsi="Cambria Math"/>
                  </w:rPr>
                </m:ctrlPr>
              </m:sSubPr>
              <m:e>
                <m:r>
                  <w:rPr>
                    <w:rFonts w:ascii="Cambria Math" w:hAnsi="Cambria Math"/>
                  </w:rPr>
                  <m:t>k</m:t>
                </m:r>
              </m:e>
              <m:sub>
                <m:r>
                  <m:rPr>
                    <m:sty m:val="p"/>
                  </m:rPr>
                  <w:rPr>
                    <w:rFonts w:ascii="Cambria Math" w:hAnsi="Cambria Math"/>
                  </w:rPr>
                  <m:t>1</m:t>
                </m:r>
              </m:sub>
            </m:sSub>
            <m:d>
              <m:dPr>
                <m:ctrlPr>
                  <w:rPr>
                    <w:rFonts w:ascii="Cambria Math" w:hAnsi="Cambria Math"/>
                  </w:rPr>
                </m:ctrlPr>
              </m:dPr>
              <m:e>
                <m:r>
                  <m:rPr>
                    <m:sty m:val="p"/>
                  </m:rPr>
                  <w:rPr>
                    <w:rFonts w:ascii="Cambria Math" w:hAnsi="Cambria Math"/>
                  </w:rPr>
                  <m:t>1-</m:t>
                </m:r>
                <m:sSub>
                  <m:sSubPr>
                    <m:ctrlPr>
                      <w:rPr>
                        <w:rFonts w:ascii="Cambria Math" w:hAnsi="Cambria Math"/>
                      </w:rPr>
                    </m:ctrlPr>
                  </m:sSubPr>
                  <m:e>
                    <m:r>
                      <w:rPr>
                        <w:rFonts w:ascii="Cambria Math" w:hAnsi="Cambria Math"/>
                      </w:rPr>
                      <m:t>ρ</m:t>
                    </m:r>
                  </m:e>
                  <m:sub>
                    <m:r>
                      <w:rPr>
                        <w:rFonts w:ascii="Cambria Math" w:hAnsi="Cambria Math"/>
                      </w:rPr>
                      <m:t>I</m:t>
                    </m:r>
                  </m:sub>
                </m:sSub>
              </m:e>
            </m:d>
          </m:num>
          <m:den>
            <m:sSub>
              <m:sSubPr>
                <m:ctrlPr>
                  <w:rPr>
                    <w:rFonts w:ascii="Cambria Math" w:hAnsi="Cambria Math"/>
                  </w:rPr>
                </m:ctrlPr>
              </m:sSubPr>
              <m:e>
                <m:r>
                  <w:rPr>
                    <w:rFonts w:ascii="Cambria Math" w:hAnsi="Cambria Math"/>
                  </w:rPr>
                  <m:t>k</m:t>
                </m:r>
              </m:e>
              <m:sub>
                <m:r>
                  <w:rPr>
                    <w:rFonts w:ascii="Cambria Math" w:hAnsi="Cambria Math"/>
                  </w:rPr>
                  <m:t>obs</m:t>
                </m:r>
              </m:sub>
            </m:sSub>
          </m:den>
        </m:f>
        <m:d>
          <m:dPr>
            <m:ctrlPr>
              <w:rPr>
                <w:rFonts w:ascii="Cambria Math" w:hAnsi="Cambria Math"/>
              </w:rPr>
            </m:ctrlPr>
          </m:dPr>
          <m:e>
            <m:r>
              <m:rPr>
                <m:sty m:val="p"/>
              </m:rPr>
              <w:rPr>
                <w:rFonts w:ascii="Cambria Math" w:hAnsi="Cambria Math"/>
              </w:rPr>
              <m:t>1-</m:t>
            </m:r>
            <m:sSup>
              <m:sSupPr>
                <m:ctrlPr>
                  <w:rPr>
                    <w:rFonts w:ascii="Cambria Math" w:hAnsi="Cambria Math"/>
                  </w:rPr>
                </m:ctrlPr>
              </m:sSupPr>
              <m:e>
                <m:r>
                  <w:rPr>
                    <w:rFonts w:ascii="Cambria Math" w:hAnsi="Cambria Math"/>
                  </w:rPr>
                  <m:t>e</m:t>
                </m:r>
              </m:e>
              <m:sup>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obs</m:t>
                    </m:r>
                  </m:sub>
                </m:sSub>
                <m:r>
                  <w:rPr>
                    <w:rFonts w:ascii="Cambria Math" w:hAnsi="Cambria Math"/>
                  </w:rPr>
                  <m:t>t</m:t>
                </m:r>
              </m:sup>
            </m:sSup>
          </m:e>
        </m:d>
      </m:oMath>
      <w:r w:rsidR="00477631">
        <w:rPr>
          <w:rFonts w:eastAsiaTheme="minorEastAsia"/>
        </w:rPr>
        <w:tab/>
      </w:r>
      <w:r w:rsidR="00604670" w:rsidRPr="00BE01EC">
        <w:rPr>
          <w:rStyle w:val="LabelorNumber"/>
          <w:rFonts w:eastAsiaTheme="minorEastAsia"/>
        </w:rPr>
        <w:t>Eq. 5</w:t>
      </w:r>
    </w:p>
    <w:p w14:paraId="66F6B7F5" w14:textId="3E8E02CC" w:rsidR="00214B96" w:rsidRDefault="00214B96" w:rsidP="00214B96">
      <w:proofErr w:type="gramStart"/>
      <w:r>
        <w:t>where</w:t>
      </w:r>
      <w:proofErr w:type="gramEnd"/>
      <w:r>
        <w:t>,</w:t>
      </w:r>
    </w:p>
    <w:p w14:paraId="5B5D54C8" w14:textId="2FFFD926" w:rsidR="00BC16DD" w:rsidRPr="0067738F" w:rsidRDefault="00CF1AF2" w:rsidP="00D42632">
      <w:pPr>
        <w:pStyle w:val="Equation"/>
        <w:rPr>
          <w:rFonts w:eastAsiaTheme="minorEastAsia"/>
        </w:rPr>
      </w:pPr>
      <m:oMathPara>
        <m:oMath>
          <m:sSub>
            <m:sSubPr>
              <m:ctrlPr>
                <w:rPr>
                  <w:rFonts w:ascii="Cambria Math" w:hAnsi="Cambria Math"/>
                </w:rPr>
              </m:ctrlPr>
            </m:sSubPr>
            <m:e>
              <m:r>
                <w:rPr>
                  <w:rFonts w:ascii="Cambria Math" w:hAnsi="Cambria Math"/>
                </w:rPr>
                <m:t>ρ</m:t>
              </m:r>
            </m:e>
            <m:sub>
              <m:r>
                <w:rPr>
                  <w:rFonts w:ascii="Cambria Math" w:hAnsi="Cambria Math"/>
                </w:rPr>
                <m:t>I</m:t>
              </m:r>
            </m:sub>
          </m:sSub>
          <m:r>
            <m:rPr>
              <m:sty m:val="p"/>
            </m:rPr>
            <w:rPr>
              <w:rFonts w:ascii="Cambria Math" w:hAnsi="Cambria Math"/>
            </w:rPr>
            <m:t>=</m:t>
          </m:r>
          <m:f>
            <m:fPr>
              <m:ctrlPr>
                <w:rPr>
                  <w:rFonts w:ascii="Cambria Math" w:hAnsi="Cambria Math"/>
                </w:rPr>
              </m:ctrlPr>
            </m:fPr>
            <m:num>
              <m:r>
                <m:rPr>
                  <m:sty m:val="p"/>
                </m:rPr>
                <w:rPr>
                  <w:rFonts w:ascii="Cambria Math" w:hAnsi="Cambria Math"/>
                </w:rPr>
                <m:t>[I]</m:t>
              </m:r>
            </m:num>
            <m:den>
              <m:sSub>
                <m:sSubPr>
                  <m:ctrlPr>
                    <w:rPr>
                      <w:rFonts w:ascii="Cambria Math" w:hAnsi="Cambria Math"/>
                    </w:rPr>
                  </m:ctrlPr>
                </m:sSubPr>
                <m:e>
                  <m:r>
                    <w:rPr>
                      <w:rFonts w:ascii="Cambria Math" w:hAnsi="Cambria Math"/>
                    </w:rPr>
                    <m:t>K</m:t>
                  </m:r>
                </m:e>
                <m:sub>
                  <m:r>
                    <m:rPr>
                      <m:sty m:val="p"/>
                    </m:rPr>
                    <w:rPr>
                      <w:rFonts w:ascii="Cambria Math" w:hAnsi="Cambria Math"/>
                    </w:rPr>
                    <m:t>i</m:t>
                  </m:r>
                </m:sub>
              </m:sSub>
              <m:r>
                <m:rPr>
                  <m:sty m:val="p"/>
                </m:rPr>
                <w:rPr>
                  <w:rFonts w:ascii="Cambria Math" w:hAnsi="Cambria Math"/>
                </w:rPr>
                <m:t>+[I]</m:t>
              </m:r>
            </m:den>
          </m:f>
        </m:oMath>
      </m:oMathPara>
    </w:p>
    <w:p w14:paraId="690E0EDE" w14:textId="77777777" w:rsidR="00BC16DD" w:rsidRDefault="00BC16DD" w:rsidP="00214B96"/>
    <w:p w14:paraId="0386A0B0" w14:textId="27BD981A" w:rsidR="00214B96" w:rsidRPr="00214B96" w:rsidRDefault="00CF1AF2" w:rsidP="00D42632">
      <w:pPr>
        <w:pStyle w:val="Equation"/>
        <w:rPr>
          <w:rFonts w:eastAsiaTheme="minorEastAsia"/>
        </w:rPr>
      </w:pPr>
      <m:oMathPara>
        <m:oMath>
          <m:sSub>
            <m:sSubPr>
              <m:ctrlPr>
                <w:rPr>
                  <w:rFonts w:ascii="Cambria Math" w:hAnsi="Cambria Math"/>
                </w:rPr>
              </m:ctrlPr>
            </m:sSubPr>
            <m:e>
              <m:r>
                <w:rPr>
                  <w:rFonts w:ascii="Cambria Math" w:hAnsi="Cambria Math"/>
                </w:rPr>
                <m:t>k</m:t>
              </m:r>
            </m:e>
            <m:sub>
              <m:r>
                <w:rPr>
                  <w:rFonts w:ascii="Cambria Math" w:hAnsi="Cambria Math"/>
                </w:rPr>
                <m:t>obs</m:t>
              </m:r>
            </m:sub>
          </m:sSub>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L</m:t>
              </m:r>
            </m:e>
          </m:d>
          <m:sSub>
            <m:sSubPr>
              <m:ctrlPr>
                <w:rPr>
                  <w:rFonts w:ascii="Cambria Math" w:hAnsi="Cambria Math"/>
                </w:rPr>
              </m:ctrlPr>
            </m:sSubPr>
            <m:e>
              <m:r>
                <w:rPr>
                  <w:rFonts w:ascii="Cambria Math" w:hAnsi="Cambria Math"/>
                </w:rPr>
                <m:t>k</m:t>
              </m:r>
            </m:e>
            <m:sub>
              <m:r>
                <m:rPr>
                  <m:sty m:val="p"/>
                </m:rPr>
                <w:rPr>
                  <w:rFonts w:ascii="Cambria Math" w:hAnsi="Cambria Math"/>
                </w:rPr>
                <m:t>1</m:t>
              </m:r>
            </m:sub>
          </m:sSub>
          <m:d>
            <m:dPr>
              <m:ctrlPr>
                <w:rPr>
                  <w:rFonts w:ascii="Cambria Math" w:hAnsi="Cambria Math"/>
                </w:rPr>
              </m:ctrlPr>
            </m:dPr>
            <m:e>
              <m:r>
                <m:rPr>
                  <m:sty m:val="p"/>
                </m:rPr>
                <w:rPr>
                  <w:rFonts w:ascii="Cambria Math" w:hAnsi="Cambria Math"/>
                </w:rPr>
                <m:t>1-</m:t>
              </m:r>
              <m:sSub>
                <m:sSubPr>
                  <m:ctrlPr>
                    <w:rPr>
                      <w:rFonts w:ascii="Cambria Math" w:hAnsi="Cambria Math"/>
                    </w:rPr>
                  </m:ctrlPr>
                </m:sSubPr>
                <m:e>
                  <m:r>
                    <w:rPr>
                      <w:rFonts w:ascii="Cambria Math" w:hAnsi="Cambria Math"/>
                    </w:rPr>
                    <m:t>ρ</m:t>
                  </m:r>
                </m:e>
                <m:sub>
                  <m:r>
                    <w:rPr>
                      <w:rFonts w:ascii="Cambria Math" w:hAnsi="Cambria Math"/>
                    </w:rPr>
                    <m:t>I</m:t>
                  </m:r>
                </m:sub>
              </m:sSub>
            </m:e>
          </m:d>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0E86772C" w14:textId="77777777" w:rsidR="00214B96" w:rsidRPr="00214B96" w:rsidRDefault="00214B96" w:rsidP="00214B96"/>
    <w:p w14:paraId="46928071" w14:textId="1C11D14C" w:rsidR="00214B96" w:rsidRDefault="00604670" w:rsidP="00214B96">
      <w:r w:rsidRPr="00604670">
        <w:rPr>
          <w:i/>
          <w:iCs/>
        </w:rPr>
        <w:t>K</w:t>
      </w:r>
      <w:r w:rsidRPr="00604670">
        <w:rPr>
          <w:vertAlign w:val="subscript"/>
        </w:rPr>
        <w:t>i</w:t>
      </w:r>
      <w:r>
        <w:t xml:space="preserve"> </w:t>
      </w:r>
      <w:r w:rsidR="00BC16DD">
        <w:t xml:space="preserve">is the equilibrium binding affinity of the unlabeled test compound. Note </w:t>
      </w:r>
      <m:oMath>
        <m:sSub>
          <m:sSubPr>
            <m:ctrlPr>
              <w:rPr>
                <w:rFonts w:ascii="Cambria Math" w:hAnsi="Cambria Math"/>
                <w:i/>
              </w:rPr>
            </m:ctrlPr>
          </m:sSubPr>
          <m:e>
            <m:r>
              <w:rPr>
                <w:rFonts w:ascii="Cambria Math" w:hAnsi="Cambria Math"/>
              </w:rPr>
              <m:t>ρ</m:t>
            </m:r>
          </m:e>
          <m:sub>
            <m:r>
              <w:rPr>
                <w:rFonts w:ascii="Cambria Math" w:hAnsi="Cambria Math"/>
              </w:rPr>
              <m:t>I</m:t>
            </m:r>
          </m:sub>
        </m:sSub>
      </m:oMath>
      <w:r w:rsidR="00BC16DD">
        <w:t xml:space="preserve"> and </w:t>
      </w:r>
      <m:oMath>
        <m:sSub>
          <m:sSubPr>
            <m:ctrlPr>
              <w:rPr>
                <w:rFonts w:ascii="Cambria Math" w:hAnsi="Cambria Math"/>
                <w:i/>
              </w:rPr>
            </m:ctrlPr>
          </m:sSubPr>
          <m:e>
            <m:r>
              <w:rPr>
                <w:rFonts w:ascii="Cambria Math" w:hAnsi="Cambria Math"/>
              </w:rPr>
              <m:t>k</m:t>
            </m:r>
          </m:e>
          <m:sub>
            <m:r>
              <w:rPr>
                <w:rFonts w:ascii="Cambria Math" w:hAnsi="Cambria Math"/>
              </w:rPr>
              <m:t>obs</m:t>
            </m:r>
          </m:sub>
        </m:sSub>
      </m:oMath>
      <w:r w:rsidR="00BC16DD">
        <w:t xml:space="preserve"> are composite parameters introduced to simplify writing of the equation into curve-fitting programs.</w:t>
      </w:r>
    </w:p>
    <w:p w14:paraId="72970C79" w14:textId="155FEEFF" w:rsidR="00604670" w:rsidRDefault="00604670" w:rsidP="00604670">
      <w:pPr>
        <w:ind w:firstLine="720"/>
      </w:pPr>
      <w:r>
        <w:rPr>
          <w:rFonts w:cstheme="minorHAnsi"/>
        </w:rPr>
        <w:t>This equation</w:t>
      </w:r>
      <w:r w:rsidR="00B52C55">
        <w:rPr>
          <w:rFonts w:cstheme="minorHAnsi"/>
        </w:rPr>
        <w:t>,</w:t>
      </w:r>
      <w:r>
        <w:rPr>
          <w:rFonts w:cstheme="minorHAnsi"/>
        </w:rPr>
        <w:t xml:space="preserve"> </w:t>
      </w:r>
      <w:r w:rsidR="00B52C55">
        <w:rPr>
          <w:rFonts w:cstheme="minorHAnsi"/>
        </w:rPr>
        <w:t>named “</w:t>
      </w:r>
      <w:r w:rsidR="00B52C55" w:rsidRPr="00604670">
        <w:rPr>
          <w:rFonts w:cstheme="minorHAnsi"/>
        </w:rPr>
        <w:t>[</w:t>
      </w:r>
      <w:proofErr w:type="spellStart"/>
      <w:r w:rsidR="00B52C55" w:rsidRPr="00604670">
        <w:rPr>
          <w:rFonts w:cstheme="minorHAnsi"/>
        </w:rPr>
        <w:t>Pharmechanics</w:t>
      </w:r>
      <w:proofErr w:type="spellEnd"/>
      <w:r w:rsidR="00B52C55" w:rsidRPr="00604670">
        <w:rPr>
          <w:rFonts w:cstheme="minorHAnsi"/>
        </w:rPr>
        <w:t>] Kinetics of competitive binding, rapid competitor dissociation</w:t>
      </w:r>
      <w:r w:rsidR="00B52C55">
        <w:rPr>
          <w:rFonts w:cstheme="minorHAnsi"/>
        </w:rPr>
        <w:t xml:space="preserve">”, </w:t>
      </w:r>
      <w:r>
        <w:rPr>
          <w:rFonts w:cstheme="minorHAnsi"/>
        </w:rPr>
        <w:t>is available in the</w:t>
      </w:r>
      <w:r w:rsidR="00736224">
        <w:rPr>
          <w:rFonts w:cstheme="minorHAnsi"/>
        </w:rPr>
        <w:t xml:space="preserve"> supplementary Prism file</w:t>
      </w:r>
      <w:r>
        <w:rPr>
          <w:rFonts w:cstheme="minorHAnsi"/>
        </w:rPr>
        <w:t xml:space="preserve"> “</w:t>
      </w:r>
      <w:hyperlink r:id="rId35" w:history="1">
        <w:r w:rsidRPr="00736224">
          <w:rPr>
            <w:rStyle w:val="Hyperlink"/>
            <w:rFonts w:cstheme="minorHAnsi"/>
          </w:rPr>
          <w:t>Custom equations for binding kinetics</w:t>
        </w:r>
      </w:hyperlink>
      <w:r w:rsidR="00B52C55">
        <w:rPr>
          <w:rFonts w:cstheme="minorHAnsi"/>
        </w:rPr>
        <w:t>”.</w:t>
      </w:r>
    </w:p>
    <w:p w14:paraId="2628D9D3" w14:textId="08393D29" w:rsidR="007C2C21" w:rsidRDefault="007C2C21" w:rsidP="00214B96"/>
    <w:p w14:paraId="16EC08A4" w14:textId="442F29B9" w:rsidR="007C2C21" w:rsidRDefault="00D65B90" w:rsidP="00003ED8">
      <w:pPr>
        <w:pStyle w:val="Heading4"/>
        <w:rPr>
          <w:rFonts w:eastAsiaTheme="minorEastAsia"/>
        </w:rPr>
      </w:pPr>
      <w:bookmarkStart w:id="29" w:name="_Pre-incubating_with_Test"/>
      <w:bookmarkEnd w:id="29"/>
      <w:r>
        <w:rPr>
          <w:rFonts w:eastAsiaTheme="minorEastAsia"/>
        </w:rPr>
        <w:t>Pre-incubating with Test C</w:t>
      </w:r>
      <w:r w:rsidR="007C2C21">
        <w:rPr>
          <w:rFonts w:eastAsiaTheme="minorEastAsia"/>
        </w:rPr>
        <w:t>ompound</w:t>
      </w:r>
    </w:p>
    <w:p w14:paraId="56553046" w14:textId="0570DF15" w:rsidR="007C2C21" w:rsidRDefault="007C2C21" w:rsidP="007C2C21">
      <w:pPr>
        <w:ind w:firstLine="720"/>
      </w:pPr>
      <w:r>
        <w:t>The original competition kinetics equation assumes target is exposed simultaneously to test compound and tracer ligand</w:t>
      </w:r>
      <w:r w:rsidR="00D42632">
        <w:t xml:space="preserve"> (18</w:t>
      </w:r>
      <w:proofErr w:type="gramStart"/>
      <w:r w:rsidR="00D42632">
        <w:t>,19</w:t>
      </w:r>
      <w:proofErr w:type="gramEnd"/>
      <w:r w:rsidR="00D42632">
        <w:t>)</w:t>
      </w:r>
      <w:r>
        <w:t>. An equation is also available that assume</w:t>
      </w:r>
      <w:r w:rsidR="002822A6">
        <w:t>s the</w:t>
      </w:r>
      <w:r>
        <w:t xml:space="preserve"> target is pre-incubated with </w:t>
      </w:r>
      <w:r w:rsidR="002822A6">
        <w:t xml:space="preserve">a </w:t>
      </w:r>
      <w:r>
        <w:t xml:space="preserve">test compound before </w:t>
      </w:r>
      <w:r w:rsidR="002822A6">
        <w:t xml:space="preserve">the </w:t>
      </w:r>
      <w:r>
        <w:t>tracer is added</w:t>
      </w:r>
      <w:r w:rsidR="00F67842">
        <w:t xml:space="preserve"> (53</w:t>
      </w:r>
      <w:proofErr w:type="gramStart"/>
      <w:r w:rsidR="00F67842">
        <w:t>,54</w:t>
      </w:r>
      <w:proofErr w:type="gramEnd"/>
      <w:r w:rsidR="00F67842">
        <w:t>)</w:t>
      </w:r>
      <w:r>
        <w:t>. The equation</w:t>
      </w:r>
      <w:r w:rsidR="00604670">
        <w:t xml:space="preserve"> is</w:t>
      </w:r>
      <w:r>
        <w:t xml:space="preserve"> a close analogue of the original equation</w:t>
      </w:r>
      <w:r w:rsidR="00604670">
        <w:t xml:space="preserve"> – it is extended to </w:t>
      </w:r>
      <w:r>
        <w:t>include a term for binding of compound during the pre-incubation</w:t>
      </w:r>
      <w:r w:rsidR="00604670">
        <w:t>. The equation (Eq. 6)</w:t>
      </w:r>
      <w:r>
        <w:t xml:space="preserve"> is:</w:t>
      </w:r>
    </w:p>
    <w:p w14:paraId="0ED99A94" w14:textId="77777777" w:rsidR="00405D56" w:rsidRDefault="00405D56" w:rsidP="007C2C21">
      <w:pPr>
        <w:ind w:firstLine="720"/>
      </w:pPr>
    </w:p>
    <w:p w14:paraId="23B7AEF8" w14:textId="58C0221B" w:rsidR="007C2C21" w:rsidRDefault="007C2C21" w:rsidP="007C2C21"/>
    <w:p w14:paraId="347FB4C8" w14:textId="1C605EB1" w:rsidR="007B1015" w:rsidRPr="00BE01EC" w:rsidRDefault="00CF1AF2" w:rsidP="00BE01EC">
      <w:pPr>
        <w:pStyle w:val="Equation"/>
        <w:rPr>
          <w:rStyle w:val="LabelorNumber"/>
        </w:rPr>
      </w:pPr>
      <m:oMath>
        <m:d>
          <m:dPr>
            <m:begChr m:val="["/>
            <m:endChr m:val="]"/>
            <m:ctrlPr>
              <w:rPr>
                <w:rFonts w:ascii="Cambria Math" w:eastAsiaTheme="minorEastAsia" w:hAnsi="Cambria Math"/>
              </w:rPr>
            </m:ctrlPr>
          </m:dPr>
          <m:e>
            <m:r>
              <m:rPr>
                <m:sty m:val="p"/>
              </m:rPr>
              <w:rPr>
                <w:rFonts w:ascii="Cambria Math" w:eastAsiaTheme="minorEastAsia" w:hAnsi="Cambria Math"/>
              </w:rPr>
              <m:t>RL</m:t>
            </m:r>
          </m:e>
        </m:d>
        <m:r>
          <m:rPr>
            <m:sty m:val="p"/>
          </m:rP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max</m:t>
                </m:r>
              </m:sub>
            </m:sSub>
            <m:d>
              <m:dPr>
                <m:begChr m:val="["/>
                <m:endChr m:val="]"/>
                <m:ctrlPr>
                  <w:rPr>
                    <w:rFonts w:ascii="Cambria Math" w:eastAsiaTheme="minorEastAsia" w:hAnsi="Cambria Math"/>
                    <w:iCs/>
                  </w:rPr>
                </m:ctrlPr>
              </m:dPr>
              <m:e>
                <m:r>
                  <m:rPr>
                    <m:sty m:val="p"/>
                  </m:rPr>
                  <w:rPr>
                    <w:rFonts w:ascii="Cambria Math" w:eastAsiaTheme="minorEastAsia" w:hAnsi="Cambria Math"/>
                  </w:rPr>
                  <m:t>L</m:t>
                </m:r>
              </m:e>
            </m:d>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1</m:t>
                </m:r>
              </m:sub>
            </m:sSub>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den>
        </m:f>
        <m:d>
          <m:dPr>
            <m:begChr m:val="["/>
            <m:endChr m:val="]"/>
            <m:ctrlPr>
              <w:rPr>
                <w:rFonts w:ascii="Cambria Math" w:eastAsiaTheme="minorEastAsia" w:hAnsi="Cambria Math"/>
              </w:rPr>
            </m:ctrlPr>
          </m:dPr>
          <m:e>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4</m:t>
                    </m:r>
                  </m:sub>
                </m:sSub>
                <m:d>
                  <m:dPr>
                    <m:ctrlPr>
                      <w:rPr>
                        <w:rFonts w:ascii="Cambria Math" w:eastAsiaTheme="minorEastAsia" w:hAnsi="Cambria Math"/>
                      </w:rPr>
                    </m:ctrlPr>
                  </m:dPr>
                  <m:e>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e>
                </m:d>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den>
            </m:f>
            <m:r>
              <m:rPr>
                <m:sty m:val="p"/>
              </m:rPr>
              <w:rPr>
                <w:rFonts w:ascii="Cambria Math" w:eastAsiaTheme="minorEastAsia" w:hAnsi="Cambria Math"/>
              </w:rPr>
              <m:t>+</m:t>
            </m:r>
            <m:f>
              <m:fPr>
                <m:ctrlPr>
                  <w:rPr>
                    <w:rFonts w:ascii="Cambria Math" w:eastAsiaTheme="minorEastAsia" w:hAnsi="Cambria Math"/>
                  </w:rPr>
                </m:ctrlPr>
              </m:fPr>
              <m:num>
                <m:d>
                  <m:dPr>
                    <m:begChr m:val=""/>
                    <m:endChr m:val=""/>
                    <m:ctrlPr>
                      <w:rPr>
                        <w:rFonts w:ascii="Cambria Math" w:eastAsiaTheme="minorEastAsia" w:hAnsi="Cambria Math"/>
                      </w:rPr>
                    </m:ctrlPr>
                  </m:dPr>
                  <m:e>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4</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e>
                </m:d>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den>
            </m:f>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w:rPr>
                    <w:rFonts w:ascii="Cambria Math" w:eastAsiaTheme="minorEastAsia" w:hAnsi="Cambria Math"/>
                  </w:rPr>
                  <m:t>t</m:t>
                </m:r>
              </m:sup>
            </m:sSup>
            <m:r>
              <m:rPr>
                <m:sty m:val="p"/>
              </m:rPr>
              <w:rPr>
                <w:rFonts w:ascii="Cambria Math" w:eastAsiaTheme="minorEastAsia" w:hAnsi="Cambria Math"/>
              </w:rPr>
              <m:t>-</m:t>
            </m:r>
            <m:f>
              <m:fPr>
                <m:ctrlPr>
                  <w:rPr>
                    <w:rFonts w:ascii="Cambria Math" w:eastAsiaTheme="minorEastAsia" w:hAnsi="Cambria Math"/>
                  </w:rPr>
                </m:ctrlPr>
              </m:fPr>
              <m:num>
                <m:d>
                  <m:dPr>
                    <m:begChr m:val=""/>
                    <m:endChr m:val=""/>
                    <m:ctrlPr>
                      <w:rPr>
                        <w:rFonts w:ascii="Cambria Math" w:eastAsiaTheme="minorEastAsia" w:hAnsi="Cambria Math"/>
                      </w:rPr>
                    </m:ctrlPr>
                  </m:dPr>
                  <m:e>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4</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e>
                </m:d>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den>
            </m:f>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r>
                  <w:rPr>
                    <w:rFonts w:ascii="Cambria Math" w:eastAsiaTheme="minorEastAsia" w:hAnsi="Cambria Math"/>
                  </w:rPr>
                  <m:t>t</m:t>
                </m:r>
              </m:sup>
            </m:sSup>
          </m:e>
        </m:d>
        <m:r>
          <m:rPr>
            <m:sty m:val="p"/>
          </m:rP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rPr>
                </m:ctrlPr>
              </m:sSubPr>
              <m:e>
                <m:r>
                  <m:rPr>
                    <m:sty m:val="p"/>
                  </m:rPr>
                  <w:rPr>
                    <w:rFonts w:ascii="Cambria Math" w:eastAsiaTheme="minorEastAsia" w:hAnsi="Cambria Math"/>
                  </w:rPr>
                  <m:t>B</m:t>
                </m:r>
              </m:e>
              <m:sub>
                <m:r>
                  <m:rPr>
                    <m:sty m:val="p"/>
                  </m:rPr>
                  <w:rPr>
                    <w:rFonts w:ascii="Cambria Math" w:eastAsiaTheme="minorEastAsia" w:hAnsi="Cambria Math"/>
                  </w:rPr>
                  <m:t>max</m:t>
                </m:r>
              </m:sub>
            </m:sSub>
            <m:d>
              <m:dPr>
                <m:begChr m:val="["/>
                <m:endChr m:val="]"/>
                <m:ctrlPr>
                  <w:rPr>
                    <w:rFonts w:ascii="Cambria Math" w:eastAsiaTheme="minorEastAsia" w:hAnsi="Cambria Math"/>
                  </w:rPr>
                </m:ctrlPr>
              </m:dPr>
              <m:e>
                <m:r>
                  <m:rPr>
                    <m:sty m:val="p"/>
                  </m:rPr>
                  <w:rPr>
                    <w:rFonts w:ascii="Cambria Math" w:eastAsiaTheme="minorEastAsia" w:hAnsi="Cambria Math"/>
                  </w:rPr>
                  <m:t>L</m:t>
                </m:r>
              </m:e>
            </m:d>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1</m:t>
                </m:r>
              </m:sub>
            </m:sSub>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den>
        </m:f>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[I]</m:t>
            </m:r>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3</m:t>
                </m:r>
              </m:sub>
            </m:sSub>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B</m:t>
                </m:r>
              </m:sub>
            </m:sSub>
          </m:den>
        </m:f>
        <m:d>
          <m:dPr>
            <m:ctrlPr>
              <w:rPr>
                <w:rFonts w:ascii="Cambria Math" w:eastAsiaTheme="minorEastAsia" w:hAnsi="Cambria Math"/>
              </w:rPr>
            </m:ctrlPr>
          </m:dPr>
          <m:e>
            <m:r>
              <m:rPr>
                <m:sty m:val="p"/>
              </m:rPr>
              <w:rPr>
                <w:rFonts w:ascii="Cambria Math" w:eastAsiaTheme="minorEastAsia" w:hAnsi="Cambria Math"/>
              </w:rPr>
              <m:t>1-</m:t>
            </m:r>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B</m:t>
                    </m:r>
                  </m:sub>
                </m:sSub>
                <m:sSub>
                  <m:sSubPr>
                    <m:ctrlPr>
                      <w:rPr>
                        <w:rFonts w:ascii="Cambria Math" w:eastAsiaTheme="minorEastAsia" w:hAnsi="Cambria Math"/>
                      </w:rPr>
                    </m:ctrlPr>
                  </m:sSubPr>
                  <m:e>
                    <m:r>
                      <w:rPr>
                        <w:rFonts w:ascii="Cambria Math" w:eastAsiaTheme="minorEastAsia" w:hAnsi="Cambria Math"/>
                      </w:rPr>
                      <m:t>t</m:t>
                    </m:r>
                  </m:e>
                  <m:sub>
                    <m:r>
                      <m:rPr>
                        <m:sty m:val="p"/>
                      </m:rPr>
                      <w:rPr>
                        <w:rFonts w:ascii="Cambria Math" w:eastAsiaTheme="minorEastAsia" w:hAnsi="Cambria Math"/>
                      </w:rPr>
                      <m:t>PI</m:t>
                    </m:r>
                  </m:sub>
                </m:sSub>
              </m:sup>
            </m:sSup>
          </m:e>
        </m:d>
        <m:d>
          <m:dPr>
            <m:ctrlPr>
              <w:rPr>
                <w:rFonts w:ascii="Cambria Math" w:eastAsiaTheme="minorEastAsia" w:hAnsi="Cambria Math"/>
              </w:rPr>
            </m:ctrlPr>
          </m:dPr>
          <m:e>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r>
                  <m:rPr>
                    <m:sty m:val="p"/>
                  </m:rPr>
                  <w:rPr>
                    <w:rFonts w:ascii="Cambria Math" w:eastAsiaTheme="minorEastAsia" w:hAnsi="Cambria Math"/>
                  </w:rPr>
                  <m:t>.</m:t>
                </m:r>
                <m:r>
                  <w:rPr>
                    <w:rFonts w:ascii="Cambria Math" w:eastAsiaTheme="minorEastAsia" w:hAnsi="Cambria Math"/>
                  </w:rPr>
                  <m:t>t</m:t>
                </m:r>
              </m:sup>
            </m:sSup>
            <m:r>
              <m:rPr>
                <m:sty m:val="p"/>
              </m:rP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m:rPr>
                    <m:sty m:val="p"/>
                  </m:rPr>
                  <w:rPr>
                    <w:rFonts w:ascii="Cambria Math" w:eastAsiaTheme="minorEastAsia" w:hAnsi="Cambria Math"/>
                  </w:rPr>
                  <m:t>.</m:t>
                </m:r>
                <m:r>
                  <w:rPr>
                    <w:rFonts w:ascii="Cambria Math" w:eastAsiaTheme="minorEastAsia" w:hAnsi="Cambria Math"/>
                  </w:rPr>
                  <m:t>t</m:t>
                </m:r>
              </m:sup>
            </m:sSup>
          </m:e>
        </m:d>
      </m:oMath>
      <w:r w:rsidR="00477631">
        <w:rPr>
          <w:rFonts w:eastAsiaTheme="minorEastAsia"/>
        </w:rPr>
        <w:tab/>
      </w:r>
      <w:r w:rsidR="007B1015" w:rsidRPr="00BE01EC">
        <w:rPr>
          <w:rStyle w:val="LabelorNumber"/>
          <w:rFonts w:eastAsiaTheme="minorEastAsia"/>
        </w:rPr>
        <w:t xml:space="preserve">Eq. </w:t>
      </w:r>
      <w:r w:rsidR="00604670" w:rsidRPr="00BE01EC">
        <w:rPr>
          <w:rStyle w:val="LabelorNumber"/>
          <w:rFonts w:eastAsiaTheme="minorEastAsia"/>
        </w:rPr>
        <w:t>6</w:t>
      </w:r>
    </w:p>
    <w:p w14:paraId="503E913A" w14:textId="0B564480" w:rsidR="00842DC4" w:rsidRPr="00842DC4" w:rsidRDefault="00842DC4" w:rsidP="00842DC4">
      <w:pPr>
        <w:rPr>
          <w:rFonts w:cstheme="minorHAnsi"/>
          <w:iCs/>
        </w:rPr>
      </w:pPr>
    </w:p>
    <w:p w14:paraId="0C3E8587" w14:textId="381D6CAA" w:rsidR="007B1015" w:rsidRDefault="00D6110F" w:rsidP="00842DC4">
      <w:pPr>
        <w:rPr>
          <w:rFonts w:cstheme="minorHAnsi"/>
        </w:rPr>
      </w:pPr>
      <w:r>
        <w:rPr>
          <w:rFonts w:cstheme="minorHAnsi"/>
        </w:rPr>
        <w:t xml:space="preserve">The </w:t>
      </w:r>
      <w:r w:rsidR="00FC567F">
        <w:rPr>
          <w:rFonts w:cstheme="minorHAnsi"/>
        </w:rPr>
        <w:t>terms are</w:t>
      </w:r>
      <w:r w:rsidR="00842DC4">
        <w:rPr>
          <w:rFonts w:cstheme="minorHAnsi"/>
        </w:rPr>
        <w:t xml:space="preserve"> defined in </w:t>
      </w:r>
      <w:r w:rsidR="006D7706">
        <w:rPr>
          <w:rFonts w:cstheme="minorHAnsi"/>
        </w:rPr>
        <w:t xml:space="preserve">the section </w:t>
      </w:r>
      <w:hyperlink w:anchor="_Original_Competition_Kinetics" w:history="1">
        <w:r w:rsidR="006D7706" w:rsidRPr="006D7706">
          <w:rPr>
            <w:rStyle w:val="Hyperlink"/>
            <w:rFonts w:cstheme="minorHAnsi"/>
          </w:rPr>
          <w:t>Original Competition Kinetics Equation</w:t>
        </w:r>
      </w:hyperlink>
      <w:r w:rsidR="00842DC4">
        <w:rPr>
          <w:rFonts w:cstheme="minorHAnsi"/>
        </w:rPr>
        <w:t>.</w:t>
      </w:r>
      <w:r w:rsidR="00604670">
        <w:rPr>
          <w:rFonts w:cstheme="minorHAnsi"/>
        </w:rPr>
        <w:t xml:space="preserve"> </w:t>
      </w:r>
      <w:proofErr w:type="spellStart"/>
      <w:proofErr w:type="gramStart"/>
      <w:r w:rsidR="00604670" w:rsidRPr="00604670">
        <w:rPr>
          <w:rFonts w:cstheme="minorHAnsi"/>
          <w:i/>
          <w:iCs/>
        </w:rPr>
        <w:t>t</w:t>
      </w:r>
      <w:r w:rsidR="00604670" w:rsidRPr="00604670">
        <w:rPr>
          <w:rFonts w:cstheme="minorHAnsi"/>
          <w:vertAlign w:val="subscript"/>
        </w:rPr>
        <w:t>PI</w:t>
      </w:r>
      <w:proofErr w:type="spellEnd"/>
      <w:proofErr w:type="gramEnd"/>
      <w:r w:rsidR="00842DC4">
        <w:rPr>
          <w:rFonts w:cstheme="minorHAnsi"/>
        </w:rPr>
        <w:t xml:space="preserve"> is the pre-incubation time</w:t>
      </w:r>
      <w:r w:rsidR="007B1015">
        <w:rPr>
          <w:rFonts w:cstheme="minorHAnsi"/>
        </w:rPr>
        <w:t xml:space="preserve"> with compound</w:t>
      </w:r>
      <w:r w:rsidR="00842DC4">
        <w:rPr>
          <w:rFonts w:cstheme="minorHAnsi"/>
        </w:rPr>
        <w:t xml:space="preserve"> and</w:t>
      </w:r>
      <w:r w:rsidR="00604670">
        <w:rPr>
          <w:rFonts w:cstheme="minorHAnsi"/>
        </w:rPr>
        <w:t xml:space="preserve"> </w:t>
      </w:r>
      <w:r w:rsidR="00604670" w:rsidRPr="00604670">
        <w:rPr>
          <w:rFonts w:cstheme="minorHAnsi"/>
          <w:i/>
          <w:iCs/>
        </w:rPr>
        <w:t>t</w:t>
      </w:r>
      <w:r w:rsidR="00842DC4">
        <w:rPr>
          <w:rFonts w:cstheme="minorHAnsi"/>
        </w:rPr>
        <w:t xml:space="preserve"> (the </w:t>
      </w:r>
      <w:r w:rsidR="00604670">
        <w:rPr>
          <w:rFonts w:cstheme="minorHAnsi"/>
        </w:rPr>
        <w:t>x</w:t>
      </w:r>
      <w:r w:rsidR="00842DC4">
        <w:rPr>
          <w:rFonts w:cstheme="minorHAnsi"/>
        </w:rPr>
        <w:t xml:space="preserve"> value) is time after tracer </w:t>
      </w:r>
      <w:r w:rsidR="00604670">
        <w:rPr>
          <w:rFonts w:cstheme="minorHAnsi"/>
        </w:rPr>
        <w:t xml:space="preserve">ligand </w:t>
      </w:r>
      <w:r w:rsidR="00842DC4">
        <w:rPr>
          <w:rFonts w:cstheme="minorHAnsi"/>
        </w:rPr>
        <w:t>addition</w:t>
      </w:r>
      <w:r w:rsidR="007B1015">
        <w:rPr>
          <w:rFonts w:cstheme="minorHAnsi"/>
        </w:rPr>
        <w:t xml:space="preserve">. </w:t>
      </w:r>
      <w:bookmarkStart w:id="30" w:name="OLE_LINK19"/>
      <w:r w:rsidR="007B1015">
        <w:rPr>
          <w:rFonts w:cstheme="minorHAnsi"/>
        </w:rPr>
        <w:t>This equation</w:t>
      </w:r>
      <w:r w:rsidR="00B52C55">
        <w:rPr>
          <w:rFonts w:cstheme="minorHAnsi"/>
        </w:rPr>
        <w:t>, named “</w:t>
      </w:r>
      <w:r w:rsidR="00B52C55" w:rsidRPr="007B1015">
        <w:rPr>
          <w:rFonts w:cstheme="minorHAnsi"/>
        </w:rPr>
        <w:t>[</w:t>
      </w:r>
      <w:proofErr w:type="spellStart"/>
      <w:r w:rsidR="00B52C55" w:rsidRPr="007B1015">
        <w:rPr>
          <w:rFonts w:cstheme="minorHAnsi"/>
        </w:rPr>
        <w:t>Pharmechanics</w:t>
      </w:r>
      <w:proofErr w:type="spellEnd"/>
      <w:r w:rsidR="00B52C55" w:rsidRPr="007B1015">
        <w:rPr>
          <w:rFonts w:cstheme="minorHAnsi"/>
        </w:rPr>
        <w:t>] Kinetics of competitive binding: Competitor pre-incubation</w:t>
      </w:r>
      <w:r w:rsidR="00B52C55">
        <w:rPr>
          <w:rFonts w:cstheme="minorHAnsi"/>
        </w:rPr>
        <w:t>”,</w:t>
      </w:r>
      <w:r w:rsidR="007B1015">
        <w:rPr>
          <w:rFonts w:cstheme="minorHAnsi"/>
        </w:rPr>
        <w:t xml:space="preserve"> is available in the </w:t>
      </w:r>
      <w:r w:rsidR="00736224">
        <w:rPr>
          <w:rFonts w:cstheme="minorHAnsi"/>
        </w:rPr>
        <w:t xml:space="preserve">supplementary </w:t>
      </w:r>
      <w:r w:rsidR="00B52C55">
        <w:rPr>
          <w:rFonts w:cstheme="minorHAnsi"/>
        </w:rPr>
        <w:t xml:space="preserve">Prism </w:t>
      </w:r>
      <w:r w:rsidR="00736224">
        <w:rPr>
          <w:rFonts w:cstheme="minorHAnsi"/>
        </w:rPr>
        <w:t xml:space="preserve">file </w:t>
      </w:r>
      <w:r w:rsidR="007B1015">
        <w:rPr>
          <w:rFonts w:cstheme="minorHAnsi"/>
        </w:rPr>
        <w:t>“</w:t>
      </w:r>
      <w:hyperlink r:id="rId36" w:history="1">
        <w:r w:rsidR="007B1015" w:rsidRPr="00736224">
          <w:rPr>
            <w:rStyle w:val="Hyperlink"/>
            <w:rFonts w:cstheme="minorHAnsi"/>
          </w:rPr>
          <w:t>Custom equations for binding kinetics</w:t>
        </w:r>
      </w:hyperlink>
      <w:r w:rsidR="007B1015">
        <w:rPr>
          <w:rFonts w:cstheme="minorHAnsi"/>
        </w:rPr>
        <w:t>”</w:t>
      </w:r>
      <w:bookmarkEnd w:id="30"/>
      <w:r w:rsidR="00B52C55">
        <w:rPr>
          <w:rFonts w:cstheme="minorHAnsi"/>
        </w:rPr>
        <w:t>.</w:t>
      </w:r>
    </w:p>
    <w:p w14:paraId="6906AEA1" w14:textId="2FF3632A" w:rsidR="00EA537B" w:rsidRDefault="00EA537B" w:rsidP="00842DC4">
      <w:pPr>
        <w:rPr>
          <w:rFonts w:cstheme="minorHAnsi"/>
        </w:rPr>
      </w:pPr>
    </w:p>
    <w:p w14:paraId="7B62405F" w14:textId="6F157F99" w:rsidR="00EA537B" w:rsidRDefault="00D65B90" w:rsidP="00003ED8">
      <w:pPr>
        <w:pStyle w:val="Heading4"/>
        <w:rPr>
          <w:rFonts w:eastAsiaTheme="minorEastAsia"/>
        </w:rPr>
      </w:pPr>
      <w:bookmarkStart w:id="31" w:name="_Pre-incubating_with_Tracer"/>
      <w:bookmarkEnd w:id="31"/>
      <w:r>
        <w:rPr>
          <w:rFonts w:eastAsiaTheme="minorEastAsia"/>
        </w:rPr>
        <w:t>Pre-incubating with T</w:t>
      </w:r>
      <w:r w:rsidR="00EA537B">
        <w:rPr>
          <w:rFonts w:eastAsiaTheme="minorEastAsia"/>
        </w:rPr>
        <w:t>racer</w:t>
      </w:r>
    </w:p>
    <w:p w14:paraId="45F3D089" w14:textId="3CA16D2F" w:rsidR="007B1015" w:rsidRDefault="007B1015" w:rsidP="00842DC4">
      <w:pPr>
        <w:rPr>
          <w:rFonts w:cstheme="minorHAnsi"/>
        </w:rPr>
      </w:pPr>
      <w:r>
        <w:rPr>
          <w:rFonts w:cstheme="minorHAnsi"/>
        </w:rPr>
        <w:tab/>
        <w:t>An equation is also available that assume</w:t>
      </w:r>
      <w:r w:rsidR="00835A39">
        <w:rPr>
          <w:rFonts w:cstheme="minorHAnsi"/>
        </w:rPr>
        <w:t>s</w:t>
      </w:r>
      <w:r>
        <w:rPr>
          <w:rFonts w:cstheme="minorHAnsi"/>
        </w:rPr>
        <w:t xml:space="preserve"> </w:t>
      </w:r>
      <w:r w:rsidR="002822A6">
        <w:rPr>
          <w:rFonts w:cstheme="minorHAnsi"/>
        </w:rPr>
        <w:t xml:space="preserve">the </w:t>
      </w:r>
      <w:r>
        <w:rPr>
          <w:rFonts w:cstheme="minorHAnsi"/>
        </w:rPr>
        <w:t xml:space="preserve">tracer is pre-incubated with </w:t>
      </w:r>
      <w:r w:rsidR="002822A6">
        <w:rPr>
          <w:rFonts w:cstheme="minorHAnsi"/>
        </w:rPr>
        <w:t xml:space="preserve">the </w:t>
      </w:r>
      <w:r>
        <w:rPr>
          <w:rFonts w:cstheme="minorHAnsi"/>
        </w:rPr>
        <w:t xml:space="preserve">target before </w:t>
      </w:r>
      <w:r w:rsidR="002822A6">
        <w:rPr>
          <w:rFonts w:cstheme="minorHAnsi"/>
        </w:rPr>
        <w:t xml:space="preserve">an </w:t>
      </w:r>
      <w:r>
        <w:rPr>
          <w:rFonts w:cstheme="minorHAnsi"/>
        </w:rPr>
        <w:t>unlabeled test compound is added</w:t>
      </w:r>
      <w:r w:rsidR="00835A39">
        <w:rPr>
          <w:rFonts w:cstheme="minorHAnsi"/>
        </w:rPr>
        <w:t xml:space="preserve"> </w:t>
      </w:r>
      <w:r w:rsidR="00D42632">
        <w:rPr>
          <w:rFonts w:cstheme="minorHAnsi"/>
        </w:rPr>
        <w:t>(53)</w:t>
      </w:r>
      <w:r>
        <w:rPr>
          <w:rFonts w:cstheme="minorHAnsi"/>
        </w:rPr>
        <w:t xml:space="preserve">. The equation </w:t>
      </w:r>
      <w:r w:rsidR="00C23549">
        <w:rPr>
          <w:rFonts w:ascii="Segoe UI" w:hAnsi="Segoe UI" w:cs="Segoe UI"/>
          <w:color w:val="000000"/>
          <w:sz w:val="20"/>
          <w:szCs w:val="20"/>
        </w:rPr>
        <w:t>(Eq. 7)</w:t>
      </w:r>
      <w:r w:rsidR="00C23549">
        <w:rPr>
          <w:rFonts w:cstheme="minorHAnsi"/>
        </w:rPr>
        <w:t xml:space="preserve"> </w:t>
      </w:r>
      <w:r>
        <w:rPr>
          <w:rFonts w:cstheme="minorHAnsi"/>
        </w:rPr>
        <w:t>is:</w:t>
      </w:r>
    </w:p>
    <w:p w14:paraId="5D5CAACF" w14:textId="77777777" w:rsidR="00405D56" w:rsidRDefault="00405D56" w:rsidP="00842DC4">
      <w:pPr>
        <w:rPr>
          <w:rFonts w:cstheme="minorHAnsi"/>
        </w:rPr>
      </w:pPr>
    </w:p>
    <w:p w14:paraId="760B177E" w14:textId="77777777" w:rsidR="007B1015" w:rsidRDefault="007B1015" w:rsidP="00842DC4">
      <w:pPr>
        <w:rPr>
          <w:rFonts w:cstheme="minorHAnsi"/>
        </w:rPr>
      </w:pPr>
    </w:p>
    <w:bookmarkStart w:id="32" w:name="_Hlk485459853"/>
    <w:p w14:paraId="357EBB5E" w14:textId="27DAB825" w:rsidR="007B1015" w:rsidRPr="00BE01EC" w:rsidRDefault="00CF1AF2" w:rsidP="00BE01EC">
      <w:pPr>
        <w:pStyle w:val="Equation"/>
        <w:rPr>
          <w:rStyle w:val="LabelorNumber"/>
        </w:rPr>
      </w:pPr>
      <m:oMath>
        <m:d>
          <m:dPr>
            <m:begChr m:val="["/>
            <m:endChr m:val="]"/>
            <m:ctrlPr>
              <w:rPr>
                <w:rFonts w:ascii="Cambria Math" w:eastAsiaTheme="minorEastAsia" w:hAnsi="Cambria Math"/>
              </w:rPr>
            </m:ctrlPr>
          </m:dPr>
          <m:e>
            <m:r>
              <m:rPr>
                <m:sty m:val="p"/>
              </m:rPr>
              <w:rPr>
                <w:rFonts w:ascii="Cambria Math" w:eastAsiaTheme="minorEastAsia" w:hAnsi="Cambria Math"/>
              </w:rPr>
              <m:t>RL</m:t>
            </m:r>
          </m:e>
        </m:d>
        <m:r>
          <m:rPr>
            <m:sty m:val="p"/>
          </m:rP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max</m:t>
                </m:r>
              </m:sub>
            </m:sSub>
            <m:d>
              <m:dPr>
                <m:begChr m:val="["/>
                <m:endChr m:val="]"/>
                <m:ctrlPr>
                  <w:rPr>
                    <w:rFonts w:ascii="Cambria Math" w:eastAsiaTheme="minorEastAsia" w:hAnsi="Cambria Math"/>
                    <w:iCs/>
                  </w:rPr>
                </m:ctrlPr>
              </m:dPr>
              <m:e>
                <m:r>
                  <m:rPr>
                    <m:sty m:val="p"/>
                  </m:rPr>
                  <w:rPr>
                    <w:rFonts w:ascii="Cambria Math" w:eastAsiaTheme="minorEastAsia" w:hAnsi="Cambria Math"/>
                  </w:rPr>
                  <m:t>L</m:t>
                </m:r>
              </m:e>
            </m:d>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1</m:t>
                </m:r>
              </m:sub>
            </m:sSub>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den>
        </m:f>
        <m:d>
          <m:dPr>
            <m:begChr m:val="["/>
            <m:endChr m:val="]"/>
            <m:ctrlPr>
              <w:rPr>
                <w:rFonts w:ascii="Cambria Math" w:eastAsiaTheme="minorEastAsia" w:hAnsi="Cambria Math"/>
              </w:rPr>
            </m:ctrlPr>
          </m:dPr>
          <m:e>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4</m:t>
                    </m:r>
                  </m:sub>
                </m:sSub>
                <m:d>
                  <m:dPr>
                    <m:ctrlPr>
                      <w:rPr>
                        <w:rFonts w:ascii="Cambria Math" w:eastAsiaTheme="minorEastAsia" w:hAnsi="Cambria Math"/>
                      </w:rPr>
                    </m:ctrlPr>
                  </m:dPr>
                  <m:e>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e>
                </m:d>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den>
            </m:f>
            <m:r>
              <m:rPr>
                <m:sty m:val="p"/>
              </m:rPr>
              <w:rPr>
                <w:rFonts w:ascii="Cambria Math" w:eastAsiaTheme="minorEastAsia" w:hAnsi="Cambria Math"/>
              </w:rPr>
              <m:t>+</m:t>
            </m:r>
            <m:f>
              <m:fPr>
                <m:ctrlPr>
                  <w:rPr>
                    <w:rFonts w:ascii="Cambria Math" w:eastAsiaTheme="minorEastAsia" w:hAnsi="Cambria Math"/>
                  </w:rPr>
                </m:ctrlPr>
              </m:fPr>
              <m:num>
                <m:d>
                  <m:dPr>
                    <m:begChr m:val=""/>
                    <m:endChr m:val=""/>
                    <m:ctrlPr>
                      <w:rPr>
                        <w:rFonts w:ascii="Cambria Math" w:eastAsiaTheme="minorEastAsia" w:hAnsi="Cambria Math"/>
                      </w:rPr>
                    </m:ctrlPr>
                  </m:dPr>
                  <m:e>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4</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e>
                </m:d>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den>
            </m:f>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w:rPr>
                    <w:rFonts w:ascii="Cambria Math" w:eastAsiaTheme="minorEastAsia" w:hAnsi="Cambria Math"/>
                  </w:rPr>
                  <m:t>t</m:t>
                </m:r>
              </m:sup>
            </m:sSup>
            <m:r>
              <m:rPr>
                <m:sty m:val="p"/>
              </m:rPr>
              <w:rPr>
                <w:rFonts w:ascii="Cambria Math" w:eastAsiaTheme="minorEastAsia" w:hAnsi="Cambria Math"/>
              </w:rPr>
              <m:t>-</m:t>
            </m:r>
            <m:f>
              <m:fPr>
                <m:ctrlPr>
                  <w:rPr>
                    <w:rFonts w:ascii="Cambria Math" w:eastAsiaTheme="minorEastAsia" w:hAnsi="Cambria Math"/>
                  </w:rPr>
                </m:ctrlPr>
              </m:fPr>
              <m:num>
                <m:d>
                  <m:dPr>
                    <m:begChr m:val=""/>
                    <m:endChr m:val=""/>
                    <m:ctrlPr>
                      <w:rPr>
                        <w:rFonts w:ascii="Cambria Math" w:eastAsiaTheme="minorEastAsia" w:hAnsi="Cambria Math"/>
                      </w:rPr>
                    </m:ctrlPr>
                  </m:dPr>
                  <m:e>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4</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e>
                </m:d>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den>
            </m:f>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r>
                  <w:rPr>
                    <w:rFonts w:ascii="Cambria Math" w:eastAsiaTheme="minorEastAsia" w:hAnsi="Cambria Math"/>
                  </w:rPr>
                  <m:t>t</m:t>
                </m:r>
              </m:sup>
            </m:sSup>
          </m:e>
        </m:d>
        <m:r>
          <m:rPr>
            <m:sty m:val="p"/>
          </m:rP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max</m:t>
                </m:r>
              </m:sub>
            </m:sSub>
            <m:r>
              <m:rPr>
                <m:sty m:val="p"/>
              </m:rPr>
              <w:rPr>
                <w:rFonts w:ascii="Cambria Math" w:eastAsiaTheme="minorEastAsia" w:hAnsi="Cambria Math"/>
              </w:rPr>
              <m:t>[L]</m:t>
            </m:r>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1</m:t>
                </m:r>
              </m:sub>
            </m:sSub>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den>
        </m:f>
        <m:d>
          <m:dPr>
            <m:ctrlPr>
              <w:rPr>
                <w:rFonts w:ascii="Cambria Math" w:eastAsiaTheme="minorEastAsia" w:hAnsi="Cambria Math"/>
              </w:rPr>
            </m:ctrlPr>
          </m:dPr>
          <m:e>
            <m:r>
              <m:rPr>
                <m:sty m:val="p"/>
              </m:rPr>
              <w:rPr>
                <w:rFonts w:ascii="Cambria Math" w:eastAsiaTheme="minorEastAsia" w:hAnsi="Cambria Math"/>
              </w:rPr>
              <m:t>1-</m:t>
            </m:r>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A</m:t>
                    </m:r>
                  </m:sub>
                </m:sSub>
                <m:sSub>
                  <m:sSubPr>
                    <m:ctrlPr>
                      <w:rPr>
                        <w:rFonts w:ascii="Cambria Math" w:eastAsiaTheme="minorEastAsia" w:hAnsi="Cambria Math"/>
                      </w:rPr>
                    </m:ctrlPr>
                  </m:sSubPr>
                  <m:e>
                    <m:r>
                      <w:rPr>
                        <w:rFonts w:ascii="Cambria Math" w:eastAsiaTheme="minorEastAsia" w:hAnsi="Cambria Math"/>
                      </w:rPr>
                      <m:t>t</m:t>
                    </m:r>
                  </m:e>
                  <m:sub>
                    <m:r>
                      <m:rPr>
                        <m:sty m:val="p"/>
                      </m:rPr>
                      <w:rPr>
                        <w:rFonts w:ascii="Cambria Math" w:eastAsiaTheme="minorEastAsia" w:hAnsi="Cambria Math"/>
                      </w:rPr>
                      <m:t>PI</m:t>
                    </m:r>
                  </m:sub>
                </m:sSub>
              </m:sup>
            </m:sSup>
          </m:e>
        </m:d>
        <m:d>
          <m:dPr>
            <m:ctrlPr>
              <w:rPr>
                <w:rFonts w:ascii="Cambria Math" w:eastAsiaTheme="minorEastAsia" w:hAnsi="Cambria Math"/>
              </w:rPr>
            </m:ctrlPr>
          </m:dPr>
          <m:e>
            <m:d>
              <m:dPr>
                <m:begChr m:val=""/>
                <m:endChr m:val=""/>
                <m:ctrlPr>
                  <w:rPr>
                    <w:rFonts w:ascii="Cambria Math" w:eastAsiaTheme="minorEastAsia" w:hAnsi="Cambria Math"/>
                  </w:rPr>
                </m:ctrlPr>
              </m:dPr>
              <m:e>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B</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A</m:t>
                        </m:r>
                      </m:sub>
                    </m:sSub>
                  </m:den>
                </m:f>
              </m:e>
            </m:d>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S</m:t>
                    </m:r>
                  </m:sub>
                </m:sSub>
                <m:r>
                  <m:rPr>
                    <m:sty m:val="p"/>
                  </m:rPr>
                  <w:rPr>
                    <w:rFonts w:ascii="Cambria Math" w:eastAsiaTheme="minorEastAsia" w:hAnsi="Cambria Math"/>
                  </w:rPr>
                  <m:t>.</m:t>
                </m:r>
                <m:r>
                  <w:rPr>
                    <w:rFonts w:ascii="Cambria Math" w:eastAsiaTheme="minorEastAsia" w:hAnsi="Cambria Math"/>
                  </w:rPr>
                  <m:t>t</m:t>
                </m:r>
              </m:sup>
            </m:sSup>
            <m:r>
              <m:rPr>
                <m:sty m:val="p"/>
              </m:rPr>
              <w:rPr>
                <w:rFonts w:ascii="Cambria Math" w:eastAsiaTheme="minorEastAsia" w:hAnsi="Cambria Math"/>
              </w:rPr>
              <m:t>-</m:t>
            </m:r>
            <m:d>
              <m:dPr>
                <m:begChr m:val=""/>
                <m:endChr m:val=""/>
                <m:ctrlPr>
                  <w:rPr>
                    <w:rFonts w:ascii="Cambria Math" w:eastAsiaTheme="minorEastAsia" w:hAnsi="Cambria Math"/>
                  </w:rPr>
                </m:ctrlPr>
              </m:dPr>
              <m:e>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B</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num>
                  <m:den>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A</m:t>
                        </m:r>
                      </m:sub>
                    </m:sSub>
                  </m:den>
                </m:f>
              </m:e>
            </m:d>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w:rPr>
                        <w:rFonts w:ascii="Cambria Math" w:eastAsiaTheme="minorEastAsia" w:hAnsi="Cambria Math"/>
                      </w:rPr>
                      <m:t>F</m:t>
                    </m:r>
                  </m:sub>
                </m:sSub>
                <m:r>
                  <m:rPr>
                    <m:sty m:val="p"/>
                  </m:rPr>
                  <w:rPr>
                    <w:rFonts w:ascii="Cambria Math" w:eastAsiaTheme="minorEastAsia" w:hAnsi="Cambria Math"/>
                  </w:rPr>
                  <m:t>.</m:t>
                </m:r>
                <m:r>
                  <w:rPr>
                    <w:rFonts w:ascii="Cambria Math" w:eastAsiaTheme="minorEastAsia" w:hAnsi="Cambria Math"/>
                  </w:rPr>
                  <m:t>t</m:t>
                </m:r>
              </m:sup>
            </m:sSup>
          </m:e>
        </m:d>
      </m:oMath>
      <w:r w:rsidR="00477631">
        <w:rPr>
          <w:rFonts w:eastAsiaTheme="minorEastAsia"/>
        </w:rPr>
        <w:tab/>
      </w:r>
      <w:r w:rsidR="007B1015" w:rsidRPr="00BE01EC">
        <w:rPr>
          <w:rStyle w:val="LabelorNumber"/>
          <w:rFonts w:eastAsiaTheme="minorEastAsia"/>
        </w:rPr>
        <w:t xml:space="preserve">Eq. </w:t>
      </w:r>
      <w:r w:rsidR="00EA537B" w:rsidRPr="00BE01EC">
        <w:rPr>
          <w:rStyle w:val="LabelorNumber"/>
          <w:rFonts w:eastAsiaTheme="minorEastAsia"/>
        </w:rPr>
        <w:t>7</w:t>
      </w:r>
    </w:p>
    <w:p w14:paraId="3E08294C" w14:textId="77777777" w:rsidR="00405D56" w:rsidRDefault="00405D56" w:rsidP="007B1015">
      <w:pPr>
        <w:rPr>
          <w:rFonts w:cstheme="minorHAnsi"/>
        </w:rPr>
      </w:pPr>
    </w:p>
    <w:p w14:paraId="0ADCEF84" w14:textId="35EFA081" w:rsidR="007B1015" w:rsidRDefault="007B1015" w:rsidP="007B1015">
      <w:pPr>
        <w:rPr>
          <w:rFonts w:cstheme="minorHAnsi"/>
        </w:rPr>
      </w:pPr>
      <w:r w:rsidRPr="007B1015">
        <w:rPr>
          <w:rFonts w:cstheme="minorHAnsi"/>
        </w:rPr>
        <w:t>Here</w:t>
      </w:r>
      <w:r w:rsidR="009602CD">
        <w:rPr>
          <w:rFonts w:cstheme="minorHAnsi"/>
        </w:rPr>
        <w:t xml:space="preserve"> </w:t>
      </w:r>
      <w:proofErr w:type="spellStart"/>
      <w:r w:rsidR="009602CD" w:rsidRPr="009602CD">
        <w:rPr>
          <w:rFonts w:cstheme="minorHAnsi"/>
          <w:i/>
          <w:iCs/>
        </w:rPr>
        <w:t>t</w:t>
      </w:r>
      <w:r w:rsidR="009602CD" w:rsidRPr="009602CD">
        <w:rPr>
          <w:rFonts w:cstheme="minorHAnsi"/>
          <w:vertAlign w:val="subscript"/>
        </w:rPr>
        <w:t>PI</w:t>
      </w:r>
      <w:proofErr w:type="spellEnd"/>
      <w:r>
        <w:rPr>
          <w:rFonts w:cstheme="minorHAnsi"/>
        </w:rPr>
        <w:t xml:space="preserve"> is the pre-incubation time with tracer and </w:t>
      </w:r>
      <m:oMath>
        <m:r>
          <w:rPr>
            <w:rFonts w:ascii="Cambria Math" w:hAnsi="Cambria Math"/>
          </w:rPr>
          <m:t>t</m:t>
        </m:r>
      </m:oMath>
      <w:r>
        <w:rPr>
          <w:rFonts w:cstheme="minorHAnsi"/>
        </w:rPr>
        <w:t xml:space="preserve"> (the </w:t>
      </w:r>
      <w:r w:rsidR="00C23549">
        <w:rPr>
          <w:rFonts w:cstheme="minorHAnsi"/>
        </w:rPr>
        <w:t>x</w:t>
      </w:r>
      <w:r>
        <w:rPr>
          <w:rFonts w:cstheme="minorHAnsi"/>
        </w:rPr>
        <w:t xml:space="preserve"> value) is time aft</w:t>
      </w:r>
      <w:r w:rsidR="00EA537B">
        <w:rPr>
          <w:rFonts w:cstheme="minorHAnsi"/>
        </w:rPr>
        <w:t>er</w:t>
      </w:r>
      <w:r>
        <w:rPr>
          <w:rFonts w:cstheme="minorHAnsi"/>
        </w:rPr>
        <w:t xml:space="preserve"> compound addition.</w:t>
      </w:r>
      <w:r w:rsidR="00FF3897">
        <w:rPr>
          <w:rFonts w:cstheme="minorHAnsi"/>
        </w:rPr>
        <w:t xml:space="preserve"> This equation</w:t>
      </w:r>
      <w:r w:rsidR="00B52C55">
        <w:rPr>
          <w:rFonts w:cstheme="minorHAnsi"/>
        </w:rPr>
        <w:t>, named “</w:t>
      </w:r>
      <w:r w:rsidR="00B52C55" w:rsidRPr="007B1015">
        <w:rPr>
          <w:rFonts w:cstheme="minorHAnsi"/>
        </w:rPr>
        <w:t>[</w:t>
      </w:r>
      <w:proofErr w:type="spellStart"/>
      <w:r w:rsidR="00B52C55" w:rsidRPr="007B1015">
        <w:rPr>
          <w:rFonts w:cstheme="minorHAnsi"/>
        </w:rPr>
        <w:t>Pharmechanics</w:t>
      </w:r>
      <w:proofErr w:type="spellEnd"/>
      <w:r w:rsidR="00B52C55" w:rsidRPr="007B1015">
        <w:rPr>
          <w:rFonts w:cstheme="minorHAnsi"/>
        </w:rPr>
        <w:t xml:space="preserve">] Kinetics of competitive binding: </w:t>
      </w:r>
      <w:r w:rsidR="00B52C55">
        <w:rPr>
          <w:rFonts w:cstheme="minorHAnsi"/>
        </w:rPr>
        <w:t>Labeled ligand</w:t>
      </w:r>
      <w:r w:rsidR="00B52C55" w:rsidRPr="007B1015">
        <w:rPr>
          <w:rFonts w:cstheme="minorHAnsi"/>
        </w:rPr>
        <w:t xml:space="preserve"> pre-incubation</w:t>
      </w:r>
      <w:r w:rsidR="00B52C55">
        <w:rPr>
          <w:rFonts w:cstheme="minorHAnsi"/>
        </w:rPr>
        <w:t>.”</w:t>
      </w:r>
      <w:r w:rsidR="00FF3897">
        <w:rPr>
          <w:rFonts w:cstheme="minorHAnsi"/>
        </w:rPr>
        <w:t xml:space="preserve"> is available in the </w:t>
      </w:r>
      <w:r w:rsidR="00B52C55">
        <w:rPr>
          <w:rFonts w:cstheme="minorHAnsi"/>
        </w:rPr>
        <w:t xml:space="preserve">supplementary Prism file </w:t>
      </w:r>
      <w:r w:rsidR="00FF3897">
        <w:rPr>
          <w:rFonts w:cstheme="minorHAnsi"/>
        </w:rPr>
        <w:t>“</w:t>
      </w:r>
      <w:hyperlink r:id="rId37" w:history="1">
        <w:r w:rsidR="00FF3897" w:rsidRPr="00B52C55">
          <w:rPr>
            <w:rStyle w:val="Hyperlink"/>
            <w:rFonts w:cstheme="minorHAnsi"/>
          </w:rPr>
          <w:t>Custom equations for binding kinetics</w:t>
        </w:r>
      </w:hyperlink>
      <w:r w:rsidR="00B52C55">
        <w:rPr>
          <w:rFonts w:cstheme="minorHAnsi"/>
        </w:rPr>
        <w:t>”.</w:t>
      </w:r>
    </w:p>
    <w:p w14:paraId="09347468" w14:textId="56C99A71" w:rsidR="007B1015" w:rsidRDefault="007B1015" w:rsidP="007B1015">
      <w:pPr>
        <w:rPr>
          <w:rFonts w:cstheme="minorHAnsi"/>
        </w:rPr>
      </w:pPr>
    </w:p>
    <w:p w14:paraId="0F36C250" w14:textId="4CFE9573" w:rsidR="007B1015" w:rsidRPr="007B1015" w:rsidRDefault="007B1015" w:rsidP="00003ED8">
      <w:pPr>
        <w:pStyle w:val="Heading3"/>
      </w:pPr>
      <w:bookmarkStart w:id="33" w:name="_Washout_Kinetics_Method"/>
      <w:bookmarkEnd w:id="33"/>
      <w:r>
        <w:t xml:space="preserve">Washout </w:t>
      </w:r>
      <w:r w:rsidR="00D65B90">
        <w:t>Kinetics Method Equation</w:t>
      </w:r>
    </w:p>
    <w:bookmarkEnd w:id="32"/>
    <w:p w14:paraId="0BB588A6" w14:textId="73BDFFE5" w:rsidR="007B1015" w:rsidRDefault="00FC567F" w:rsidP="00842DC4">
      <w:pPr>
        <w:rPr>
          <w:rFonts w:cstheme="minorHAnsi"/>
        </w:rPr>
      </w:pPr>
      <w:r>
        <w:rPr>
          <w:rFonts w:cstheme="minorHAnsi"/>
        </w:rPr>
        <w:tab/>
        <w:t xml:space="preserve">An alternative method for measuring unlabeled compound </w:t>
      </w:r>
      <w:r w:rsidR="0080081D">
        <w:rPr>
          <w:rFonts w:cstheme="minorHAnsi"/>
        </w:rPr>
        <w:t>RT</w:t>
      </w:r>
      <w:r>
        <w:rPr>
          <w:rFonts w:cstheme="minorHAnsi"/>
        </w:rPr>
        <w:t xml:space="preserve"> is the washout method, popular for certain classes of targets such as protein kinases</w:t>
      </w:r>
      <w:r w:rsidR="00D42632">
        <w:rPr>
          <w:rFonts w:cstheme="minorHAnsi"/>
        </w:rPr>
        <w:t xml:space="preserve"> (55)</w:t>
      </w:r>
      <w:r>
        <w:rPr>
          <w:rFonts w:cstheme="minorHAnsi"/>
        </w:rPr>
        <w:t>. In this experiment, compound is pre-incubated with target to allow target-compound complexes to form (</w:t>
      </w:r>
      <w:r w:rsidR="00900795">
        <w:rPr>
          <w:rFonts w:cstheme="minorHAnsi"/>
        </w:rPr>
        <w:t>Figure</w:t>
      </w:r>
      <w:r>
        <w:rPr>
          <w:rFonts w:cstheme="minorHAnsi"/>
        </w:rPr>
        <w:t xml:space="preserve"> 11). Next, the free (unbound) compound is washed out, leaving the compound-target complexes in the well. Next, a tracer ligand is added and tracer binding recorded over time. The pre-bound compound delays association of the tracer (</w:t>
      </w:r>
      <w:r w:rsidR="00900795">
        <w:rPr>
          <w:rFonts w:cstheme="minorHAnsi"/>
        </w:rPr>
        <w:t>Figure</w:t>
      </w:r>
      <w:r>
        <w:rPr>
          <w:rFonts w:cstheme="minorHAnsi"/>
        </w:rPr>
        <w:t xml:space="preserve"> 11 graph). This is because the compound first has to dissociate before tracer can bind. An equation</w:t>
      </w:r>
      <w:r w:rsidR="009551A3">
        <w:rPr>
          <w:rFonts w:cstheme="minorHAnsi"/>
        </w:rPr>
        <w:t>, Eq</w:t>
      </w:r>
      <w:r w:rsidR="002822A6">
        <w:rPr>
          <w:rFonts w:cstheme="minorHAnsi"/>
        </w:rPr>
        <w:t>.</w:t>
      </w:r>
      <w:r w:rsidR="009551A3">
        <w:rPr>
          <w:rFonts w:cstheme="minorHAnsi"/>
        </w:rPr>
        <w:t xml:space="preserve"> 8,</w:t>
      </w:r>
      <w:r>
        <w:rPr>
          <w:rFonts w:cstheme="minorHAnsi"/>
        </w:rPr>
        <w:t xml:space="preserve"> has been derived for analyzing the tracer time course data </w:t>
      </w:r>
      <w:r w:rsidR="00936121">
        <w:rPr>
          <w:rFonts w:cstheme="minorHAnsi"/>
        </w:rPr>
        <w:t>(53</w:t>
      </w:r>
      <w:proofErr w:type="gramStart"/>
      <w:r w:rsidR="00936121">
        <w:rPr>
          <w:rFonts w:cstheme="minorHAnsi"/>
        </w:rPr>
        <w:t>,56</w:t>
      </w:r>
      <w:proofErr w:type="gramEnd"/>
      <w:r w:rsidR="00936121">
        <w:rPr>
          <w:rFonts w:cstheme="minorHAnsi"/>
        </w:rPr>
        <w:t>)</w:t>
      </w:r>
      <w:r>
        <w:rPr>
          <w:rFonts w:cstheme="minorHAnsi"/>
        </w:rPr>
        <w:t>:</w:t>
      </w:r>
    </w:p>
    <w:p w14:paraId="6C758003" w14:textId="77777777" w:rsidR="00D6110F" w:rsidRDefault="00D6110F" w:rsidP="00842DC4">
      <w:pPr>
        <w:rPr>
          <w:rFonts w:cstheme="minorHAnsi"/>
        </w:rPr>
      </w:pPr>
    </w:p>
    <w:p w14:paraId="0D657C3B" w14:textId="311F8239" w:rsidR="00D6110F" w:rsidRPr="00BE01EC" w:rsidRDefault="00CF1AF2" w:rsidP="00BE01EC">
      <w:pPr>
        <w:pStyle w:val="Equation"/>
        <w:rPr>
          <w:rStyle w:val="LabelorNumber"/>
        </w:rPr>
      </w:pPr>
      <m:oMath>
        <m:d>
          <m:dPr>
            <m:begChr m:val="["/>
            <m:endChr m:val="]"/>
            <m:ctrlPr>
              <w:rPr>
                <w:rFonts w:ascii="Cambria Math" w:eastAsiaTheme="minorEastAsia" w:hAnsi="Cambria Math"/>
                <w:iCs/>
              </w:rPr>
            </m:ctrlPr>
          </m:dPr>
          <m:e>
            <m:r>
              <m:rPr>
                <m:sty m:val="p"/>
              </m:rPr>
              <w:rPr>
                <w:rFonts w:ascii="Cambria Math" w:eastAsiaTheme="minorEastAsia" w:hAnsi="Cambria Math"/>
              </w:rPr>
              <m:t>RL</m:t>
            </m:r>
          </m:e>
        </m:d>
        <m:r>
          <m:rPr>
            <m:sty m:val="p"/>
          </m:rPr>
          <w:rPr>
            <w:rFonts w:ascii="Cambria Math" w:eastAsiaTheme="minorEastAsia" w:hAnsi="Cambria Math"/>
          </w:rPr>
          <m:t>=</m:t>
        </m:r>
        <m:f>
          <m:fPr>
            <m:ctrlPr>
              <w:rPr>
                <w:rFonts w:ascii="Cambria Math" w:hAnsi="Cambria Math"/>
              </w:rPr>
            </m:ctrlPr>
          </m:fPr>
          <m:num>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max</m:t>
                </m:r>
              </m:sub>
            </m:sSub>
            <m:d>
              <m:dPr>
                <m:begChr m:val="["/>
                <m:endChr m:val="]"/>
                <m:ctrlPr>
                  <w:rPr>
                    <w:rFonts w:ascii="Cambria Math" w:hAnsi="Cambria Math"/>
                    <w:iCs/>
                  </w:rPr>
                </m:ctrlPr>
              </m:dPr>
              <m:e>
                <m:r>
                  <m:rPr>
                    <m:sty m:val="p"/>
                  </m:rPr>
                  <w:rPr>
                    <w:rFonts w:ascii="Cambria Math" w:hAnsi="Cambria Math"/>
                  </w:rPr>
                  <m:t>L</m:t>
                </m:r>
              </m:e>
            </m:d>
            <m:sSub>
              <m:sSubPr>
                <m:ctrlPr>
                  <w:rPr>
                    <w:rFonts w:ascii="Cambria Math" w:hAnsi="Cambria Math"/>
                  </w:rPr>
                </m:ctrlPr>
              </m:sSubPr>
              <m:e>
                <m:r>
                  <w:rPr>
                    <w:rFonts w:ascii="Cambria Math" w:hAnsi="Cambria Math"/>
                  </w:rPr>
                  <m:t>k</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K</m:t>
                </m:r>
              </m:e>
              <m:sub>
                <m:r>
                  <w:rPr>
                    <w:rFonts w:ascii="Cambria Math" w:hAnsi="Cambria Math"/>
                  </w:rPr>
                  <m:t>A</m:t>
                </m:r>
              </m:sub>
            </m:sSub>
          </m:den>
        </m:f>
        <m:d>
          <m:dPr>
            <m:begChr m:val="["/>
            <m:endChr m:val="]"/>
            <m:ctrlPr>
              <w:rPr>
                <w:rFonts w:ascii="Cambria Math" w:hAnsi="Cambria Math"/>
              </w:rPr>
            </m:ctrlPr>
          </m:dPr>
          <m:e>
            <m:r>
              <m:rPr>
                <m:sty m:val="p"/>
              </m:rPr>
              <w:rPr>
                <w:rFonts w:ascii="Cambria Math" w:hAnsi="Cambria Math"/>
              </w:rPr>
              <m:t>1-</m:t>
            </m:r>
            <m:d>
              <m:dPr>
                <m:ctrlPr>
                  <w:rPr>
                    <w:rFonts w:ascii="Cambria Math" w:hAnsi="Cambria Math"/>
                  </w:rPr>
                </m:ctrlPr>
              </m:dPr>
              <m:e>
                <m:r>
                  <m:rPr>
                    <m:sty m:val="p"/>
                  </m:rPr>
                  <w:rPr>
                    <w:rFonts w:ascii="Cambria Math" w:hAnsi="Cambria Math"/>
                  </w:rPr>
                  <m:t>1-</m:t>
                </m:r>
                <m:f>
                  <m:fPr>
                    <m:ctrlPr>
                      <w:rPr>
                        <w:rFonts w:ascii="Cambria Math" w:eastAsiaTheme="minorEastAsia" w:hAnsi="Cambria Math"/>
                      </w:rPr>
                    </m:ctrlPr>
                  </m:fPr>
                  <m:num>
                    <m:sSub>
                      <m:sSubPr>
                        <m:ctrlPr>
                          <w:rPr>
                            <w:rFonts w:ascii="Cambria Math" w:hAnsi="Cambria Math"/>
                            <w:iCs/>
                          </w:rPr>
                        </m:ctrlPr>
                      </m:sSubPr>
                      <m:e>
                        <m:r>
                          <m:rPr>
                            <m:sty m:val="p"/>
                          </m:rPr>
                          <w:rPr>
                            <w:rFonts w:ascii="Cambria Math" w:hAnsi="Cambria Math"/>
                          </w:rPr>
                          <m:t>B</m:t>
                        </m:r>
                      </m:e>
                      <m:sub>
                        <m:r>
                          <m:rPr>
                            <m:sty m:val="p"/>
                          </m:rPr>
                          <w:rPr>
                            <w:rFonts w:ascii="Cambria Math" w:hAnsi="Cambria Math"/>
                          </w:rPr>
                          <m:t>0</m:t>
                        </m:r>
                      </m:sub>
                    </m:sSub>
                    <m:r>
                      <m:rPr>
                        <m:sty m:val="p"/>
                      </m:rPr>
                      <w:rPr>
                        <w:rFonts w:ascii="Cambria Math" w:hAnsi="Cambria Math"/>
                      </w:rPr>
                      <m:t>×0.01×</m:t>
                    </m:r>
                    <m:sSub>
                      <m:sSubPr>
                        <m:ctrlPr>
                          <w:rPr>
                            <w:rFonts w:ascii="Cambria Math" w:hAnsi="Cambria Math"/>
                          </w:rPr>
                        </m:ctrlPr>
                      </m:sSubPr>
                      <m:e>
                        <m:r>
                          <w:rPr>
                            <w:rFonts w:ascii="Cambria Math" w:hAnsi="Cambria Math"/>
                          </w:rPr>
                          <m:t>K</m:t>
                        </m:r>
                      </m:e>
                      <m:sub>
                        <m:r>
                          <w:rPr>
                            <w:rFonts w:ascii="Cambria Math" w:hAnsi="Cambria Math"/>
                          </w:rPr>
                          <m:t>A</m:t>
                        </m:r>
                      </m:sub>
                    </m:sSub>
                  </m:num>
                  <m:den>
                    <m:d>
                      <m:dPr>
                        <m:begChr m:val=""/>
                        <m:endChr m:val=""/>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A</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4</m:t>
                            </m:r>
                          </m:sub>
                        </m:sSub>
                      </m:e>
                    </m:d>
                  </m:den>
                </m:f>
              </m:e>
            </m:d>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hAnsi="Cambria Math"/>
                      </w:rPr>
                    </m:ctrlPr>
                  </m:sSubPr>
                  <m:e>
                    <m:r>
                      <w:rPr>
                        <w:rFonts w:ascii="Cambria Math" w:hAnsi="Cambria Math"/>
                      </w:rPr>
                      <m:t>K</m:t>
                    </m:r>
                  </m:e>
                  <m:sub>
                    <m:r>
                      <w:rPr>
                        <w:rFonts w:ascii="Cambria Math" w:hAnsi="Cambria Math"/>
                      </w:rPr>
                      <m:t>A</m:t>
                    </m:r>
                  </m:sub>
                </m:sSub>
                <m:r>
                  <w:rPr>
                    <w:rFonts w:ascii="Cambria Math" w:eastAsiaTheme="minorEastAsia" w:hAnsi="Cambria Math"/>
                  </w:rPr>
                  <m:t>t</m:t>
                </m:r>
              </m:sup>
            </m:sSup>
            <m:r>
              <m:rPr>
                <m:sty m:val="p"/>
              </m:rPr>
              <w:rPr>
                <w:rFonts w:ascii="Cambria Math" w:hAnsi="Cambria Math"/>
              </w:rPr>
              <m:t>-</m:t>
            </m:r>
            <m:f>
              <m:fPr>
                <m:ctrlPr>
                  <w:rPr>
                    <w:rFonts w:ascii="Cambria Math" w:eastAsiaTheme="minorEastAsia" w:hAnsi="Cambria Math"/>
                  </w:rPr>
                </m:ctrlPr>
              </m:fPr>
              <m:num>
                <m:sSub>
                  <m:sSubPr>
                    <m:ctrlPr>
                      <w:rPr>
                        <w:rFonts w:ascii="Cambria Math" w:hAnsi="Cambria Math"/>
                        <w:iCs/>
                      </w:rPr>
                    </m:ctrlPr>
                  </m:sSubPr>
                  <m:e>
                    <m:r>
                      <m:rPr>
                        <m:sty m:val="p"/>
                      </m:rPr>
                      <w:rPr>
                        <w:rFonts w:ascii="Cambria Math" w:hAnsi="Cambria Math"/>
                      </w:rPr>
                      <m:t>B</m:t>
                    </m:r>
                  </m:e>
                  <m:sub>
                    <m:r>
                      <m:rPr>
                        <m:sty m:val="p"/>
                      </m:rPr>
                      <w:rPr>
                        <w:rFonts w:ascii="Cambria Math" w:hAnsi="Cambria Math"/>
                      </w:rPr>
                      <m:t>0</m:t>
                    </m:r>
                  </m:sub>
                </m:sSub>
                <m:r>
                  <m:rPr>
                    <m:sty m:val="p"/>
                  </m:rPr>
                  <w:rPr>
                    <w:rFonts w:ascii="Cambria Math" w:hAnsi="Cambria Math"/>
                  </w:rPr>
                  <m:t>×0.01×</m:t>
                </m:r>
                <m:sSub>
                  <m:sSubPr>
                    <m:ctrlPr>
                      <w:rPr>
                        <w:rFonts w:ascii="Cambria Math" w:hAnsi="Cambria Math"/>
                      </w:rPr>
                    </m:ctrlPr>
                  </m:sSubPr>
                  <m:e>
                    <m:r>
                      <w:rPr>
                        <w:rFonts w:ascii="Cambria Math" w:hAnsi="Cambria Math"/>
                      </w:rPr>
                      <m:t>K</m:t>
                    </m:r>
                  </m:e>
                  <m:sub>
                    <m:r>
                      <w:rPr>
                        <w:rFonts w:ascii="Cambria Math" w:hAnsi="Cambria Math"/>
                      </w:rPr>
                      <m:t>A</m:t>
                    </m:r>
                  </m:sub>
                </m:sSub>
              </m:num>
              <m:den>
                <m:d>
                  <m:dPr>
                    <m:begChr m:val=""/>
                    <m:endChr m:val=""/>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A</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4</m:t>
                        </m:r>
                      </m:sub>
                    </m:sSub>
                  </m:e>
                </m:d>
              </m:den>
            </m:f>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k</m:t>
                    </m:r>
                  </m:e>
                  <m:sub>
                    <m:r>
                      <m:rPr>
                        <m:sty m:val="p"/>
                      </m:rPr>
                      <w:rPr>
                        <w:rFonts w:ascii="Cambria Math" w:eastAsiaTheme="minorEastAsia" w:hAnsi="Cambria Math"/>
                      </w:rPr>
                      <m:t>4</m:t>
                    </m:r>
                  </m:sub>
                </m:sSub>
                <m:r>
                  <w:rPr>
                    <w:rFonts w:ascii="Cambria Math" w:eastAsiaTheme="minorEastAsia" w:hAnsi="Cambria Math"/>
                  </w:rPr>
                  <m:t>t</m:t>
                </m:r>
              </m:sup>
            </m:sSup>
          </m:e>
        </m:d>
      </m:oMath>
      <w:r w:rsidR="00477631">
        <w:rPr>
          <w:rFonts w:eastAsiaTheme="minorEastAsia"/>
        </w:rPr>
        <w:tab/>
      </w:r>
      <w:r w:rsidR="00D6110F" w:rsidRPr="00BE01EC">
        <w:rPr>
          <w:rStyle w:val="LabelorNumber"/>
          <w:rFonts w:eastAsiaTheme="minorEastAsia"/>
        </w:rPr>
        <w:t xml:space="preserve">Eq. </w:t>
      </w:r>
      <w:r w:rsidR="003B005A" w:rsidRPr="00BE01EC">
        <w:rPr>
          <w:rStyle w:val="LabelorNumber"/>
          <w:rFonts w:eastAsiaTheme="minorEastAsia"/>
        </w:rPr>
        <w:t>8</w:t>
      </w:r>
    </w:p>
    <w:p w14:paraId="0C321BF0" w14:textId="013A244E" w:rsidR="00D6110F" w:rsidRDefault="009551A3" w:rsidP="00FC567F">
      <w:pPr>
        <w:spacing w:afterLines="120" w:after="288"/>
        <w:rPr>
          <w:rFonts w:cstheme="minorHAnsi"/>
        </w:rPr>
      </w:pPr>
      <w:proofErr w:type="gramStart"/>
      <w:r>
        <w:rPr>
          <w:rFonts w:cstheme="minorHAnsi"/>
        </w:rPr>
        <w:lastRenderedPageBreak/>
        <w:t>w</w:t>
      </w:r>
      <w:r w:rsidR="00D6110F" w:rsidRPr="00D6110F">
        <w:rPr>
          <w:rFonts w:cstheme="minorHAnsi"/>
        </w:rPr>
        <w:t>here</w:t>
      </w:r>
      <w:proofErr w:type="gramEnd"/>
      <w:r>
        <w:rPr>
          <w:rFonts w:cstheme="minorHAnsi"/>
        </w:rPr>
        <w:t xml:space="preserve"> B</w:t>
      </w:r>
      <w:r w:rsidRPr="009551A3">
        <w:rPr>
          <w:rFonts w:cstheme="minorHAnsi"/>
          <w:vertAlign w:val="subscript"/>
        </w:rPr>
        <w:t>0</w:t>
      </w:r>
      <w:r w:rsidR="00D6110F" w:rsidRPr="00D6110F">
        <w:rPr>
          <w:rFonts w:cstheme="minorHAnsi"/>
        </w:rPr>
        <w:t xml:space="preserve"> </w:t>
      </w:r>
      <w:r w:rsidR="00D6110F">
        <w:rPr>
          <w:rFonts w:cstheme="minorHAnsi"/>
        </w:rPr>
        <w:t xml:space="preserve">is the </w:t>
      </w:r>
      <w:r w:rsidR="00572D38">
        <w:rPr>
          <w:rFonts w:cstheme="minorHAnsi"/>
        </w:rPr>
        <w:t>percentage</w:t>
      </w:r>
      <w:r w:rsidR="00D6110F">
        <w:rPr>
          <w:rFonts w:cstheme="minorHAnsi"/>
        </w:rPr>
        <w:t xml:space="preserve"> of the target population bound by test compound at the end of the pre-incubation step.</w:t>
      </w:r>
    </w:p>
    <w:p w14:paraId="1CA2258C" w14:textId="34AC6D09" w:rsidR="00B92DD5" w:rsidRDefault="00572D38" w:rsidP="00FC567F">
      <w:pPr>
        <w:spacing w:afterLines="120" w:after="288"/>
        <w:rPr>
          <w:rFonts w:cstheme="minorHAnsi"/>
        </w:rPr>
      </w:pPr>
      <w:r>
        <w:rPr>
          <w:rFonts w:cstheme="minorHAnsi"/>
        </w:rPr>
        <w:tab/>
        <w:t>The association rate constant of unlabeled test compound (</w:t>
      </w:r>
      <w:r w:rsidR="00431CB2" w:rsidRPr="00431CB2">
        <w:rPr>
          <w:i/>
          <w:iCs/>
        </w:rPr>
        <w:t>k</w:t>
      </w:r>
      <w:r w:rsidR="00431CB2" w:rsidRPr="00431CB2">
        <w:rPr>
          <w:vertAlign w:val="subscript"/>
        </w:rPr>
        <w:t>3</w:t>
      </w:r>
      <w:r>
        <w:rPr>
          <w:rFonts w:cstheme="minorHAnsi"/>
        </w:rPr>
        <w:t xml:space="preserve">) can be determined if multiple concentrations of compound are run in the assay. Analysis using Eq. </w:t>
      </w:r>
      <w:r w:rsidR="009551A3">
        <w:rPr>
          <w:rFonts w:cstheme="minorHAnsi"/>
        </w:rPr>
        <w:t>8</w:t>
      </w:r>
      <w:r>
        <w:rPr>
          <w:rFonts w:cstheme="minorHAnsi"/>
        </w:rPr>
        <w:t xml:space="preserve"> will give a separate </w:t>
      </w:r>
      <w:r w:rsidR="009551A3">
        <w:rPr>
          <w:rFonts w:cstheme="minorHAnsi"/>
        </w:rPr>
        <w:t>B</w:t>
      </w:r>
      <w:r w:rsidR="009551A3" w:rsidRPr="009551A3">
        <w:rPr>
          <w:rFonts w:cstheme="minorHAnsi"/>
          <w:vertAlign w:val="subscript"/>
        </w:rPr>
        <w:t>0</w:t>
      </w:r>
      <w:r>
        <w:rPr>
          <w:rFonts w:cstheme="minorHAnsi"/>
        </w:rPr>
        <w:t xml:space="preserve"> for each concentration of compound. The</w:t>
      </w:r>
      <w:r w:rsidR="009551A3">
        <w:rPr>
          <w:rFonts w:cstheme="minorHAnsi"/>
        </w:rPr>
        <w:t xml:space="preserve"> B</w:t>
      </w:r>
      <w:r w:rsidR="009551A3" w:rsidRPr="009551A3">
        <w:rPr>
          <w:rFonts w:cstheme="minorHAnsi"/>
          <w:vertAlign w:val="subscript"/>
        </w:rPr>
        <w:t>0</w:t>
      </w:r>
      <w:r>
        <w:rPr>
          <w:rFonts w:cstheme="minorHAnsi"/>
        </w:rPr>
        <w:t xml:space="preserve"> value can then be plotted versus the compound concentration </w:t>
      </w:r>
      <w:r w:rsidR="009551A3">
        <w:rPr>
          <w:rFonts w:cstheme="minorHAnsi"/>
        </w:rPr>
        <w:t>[I]</w:t>
      </w:r>
      <w:r>
        <w:rPr>
          <w:rFonts w:cstheme="minorHAnsi"/>
        </w:rPr>
        <w:t>, and the data analyzed using the following equation:</w:t>
      </w:r>
    </w:p>
    <w:p w14:paraId="67B0B0F1" w14:textId="77777777" w:rsidR="009551A3" w:rsidRDefault="009551A3" w:rsidP="00FC567F">
      <w:pPr>
        <w:spacing w:afterLines="120" w:after="288"/>
        <w:rPr>
          <w:rFonts w:cstheme="minorHAnsi"/>
        </w:rPr>
      </w:pPr>
    </w:p>
    <w:p w14:paraId="6D5C51B6" w14:textId="7CDC308C" w:rsidR="00572D38" w:rsidRPr="00D6110F" w:rsidRDefault="00CF1AF2" w:rsidP="00BE01EC">
      <w:pPr>
        <w:pStyle w:val="Equation"/>
        <w:rPr>
          <w:rFonts w:cstheme="minorHAnsi"/>
        </w:rPr>
      </w:pPr>
      <m:oMathPara>
        <m:oMath>
          <m:sSub>
            <m:sSubPr>
              <m:ctrlPr>
                <w:rPr>
                  <w:rFonts w:ascii="Cambria Math" w:hAnsi="Cambria Math"/>
                  <w:iCs/>
                </w:rPr>
              </m:ctrlPr>
            </m:sSubPr>
            <m:e>
              <m:r>
                <m:rPr>
                  <m:sty m:val="p"/>
                </m:rPr>
                <w:rPr>
                  <w:rFonts w:ascii="Cambria Math" w:hAnsi="Cambria Math"/>
                </w:rPr>
                <m:t>B</m:t>
              </m:r>
            </m:e>
            <m:sub>
              <m:r>
                <m:rPr>
                  <m:sty m:val="p"/>
                </m:rPr>
                <w:rPr>
                  <w:rFonts w:ascii="Cambria Math" w:hAnsi="Cambria Math"/>
                </w:rPr>
                <m:t>0</m:t>
              </m:r>
            </m:sub>
          </m:sSub>
          <m:r>
            <m:rPr>
              <m:sty m:val="p"/>
            </m:rPr>
            <w:rPr>
              <w:rFonts w:ascii="Cambria Math" w:hAnsi="Cambria Math"/>
            </w:rPr>
            <m:t>=100×</m:t>
          </m:r>
          <m:f>
            <m:fPr>
              <m:ctrlPr>
                <w:rPr>
                  <w:rFonts w:ascii="Cambria Math" w:eastAsiaTheme="minorEastAsia" w:hAnsi="Cambria Math"/>
                </w:rPr>
              </m:ctrlPr>
            </m:fPr>
            <m:num>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max</m:t>
                  </m:r>
                </m:sub>
              </m:sSub>
              <m:r>
                <m:rPr>
                  <m:sty m:val="p"/>
                </m:rPr>
                <w:rPr>
                  <w:rFonts w:ascii="Cambria Math" w:hAnsi="Cambria Math"/>
                </w:rPr>
                <m:t>[I]</m:t>
              </m:r>
              <m:sSub>
                <m:sSubPr>
                  <m:ctrlPr>
                    <w:rPr>
                      <w:rFonts w:ascii="Cambria Math" w:hAnsi="Cambria Math"/>
                    </w:rPr>
                  </m:ctrlPr>
                </m:sSubPr>
                <m:e>
                  <m:r>
                    <w:rPr>
                      <w:rFonts w:ascii="Cambria Math" w:hAnsi="Cambria Math"/>
                    </w:rPr>
                    <m:t>k</m:t>
                  </m:r>
                </m:e>
                <m:sub>
                  <m:r>
                    <m:rPr>
                      <m:sty m:val="p"/>
                    </m:rPr>
                    <w:rPr>
                      <w:rFonts w:ascii="Cambria Math" w:hAnsi="Cambria Math"/>
                    </w:rPr>
                    <m:t>3</m:t>
                  </m:r>
                </m:sub>
              </m:sSub>
            </m:num>
            <m:den>
              <m:d>
                <m:dPr>
                  <m:begChr m:val="["/>
                  <m:endChr m:val="]"/>
                  <m:ctrlPr>
                    <w:rPr>
                      <w:rFonts w:ascii="Cambria Math" w:hAnsi="Cambria Math"/>
                      <w:iCs/>
                    </w:rPr>
                  </m:ctrlPr>
                </m:dPr>
                <m:e>
                  <m:r>
                    <m:rPr>
                      <m:sty m:val="p"/>
                    </m:rPr>
                    <w:rPr>
                      <w:rFonts w:ascii="Cambria Math" w:hAnsi="Cambria Math"/>
                    </w:rPr>
                    <m:t>I</m:t>
                  </m:r>
                </m:e>
              </m:d>
              <m:sSub>
                <m:sSubPr>
                  <m:ctrlPr>
                    <w:rPr>
                      <w:rFonts w:ascii="Cambria Math" w:hAnsi="Cambria Math"/>
                    </w:rPr>
                  </m:ctrlPr>
                </m:sSubPr>
                <m:e>
                  <m:r>
                    <w:rPr>
                      <w:rFonts w:ascii="Cambria Math" w:hAnsi="Cambria Math"/>
                    </w:rPr>
                    <m:t>k</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4</m:t>
                  </m:r>
                </m:sub>
              </m:sSub>
            </m:den>
          </m:f>
          <m:d>
            <m:dPr>
              <m:ctrlPr>
                <w:rPr>
                  <w:rFonts w:ascii="Cambria Math" w:eastAsiaTheme="minorEastAsia" w:hAnsi="Cambria Math"/>
                </w:rPr>
              </m:ctrlPr>
            </m:dPr>
            <m:e>
              <m:r>
                <m:rPr>
                  <m:sty m:val="p"/>
                </m:rPr>
                <w:rPr>
                  <w:rFonts w:ascii="Cambria Math" w:eastAsiaTheme="minorEastAsia" w:hAnsi="Cambria Math"/>
                </w:rPr>
                <m:t>1-</m:t>
              </m:r>
              <m:sSup>
                <m:sSupPr>
                  <m:ctrlPr>
                    <w:rPr>
                      <w:rFonts w:ascii="Cambria Math" w:eastAsiaTheme="minorEastAsia" w:hAnsi="Cambria Math"/>
                    </w:rPr>
                  </m:ctrlPr>
                </m:sSupPr>
                <m:e>
                  <m:r>
                    <w:rPr>
                      <w:rFonts w:ascii="Cambria Math" w:eastAsiaTheme="minorEastAsia" w:hAnsi="Cambria Math"/>
                    </w:rPr>
                    <m:t>e</m:t>
                  </m:r>
                </m:e>
                <m:sup>
                  <m:r>
                    <m:rPr>
                      <m:sty m:val="p"/>
                    </m:rPr>
                    <w:rPr>
                      <w:rFonts w:ascii="Cambria Math" w:eastAsiaTheme="minorEastAsia" w:hAnsi="Cambria Math"/>
                    </w:rPr>
                    <m:t>-</m:t>
                  </m:r>
                  <m:d>
                    <m:dPr>
                      <m:ctrlPr>
                        <w:rPr>
                          <w:rFonts w:ascii="Cambria Math" w:eastAsiaTheme="minorEastAsia" w:hAnsi="Cambria Math"/>
                        </w:rPr>
                      </m:ctrlPr>
                    </m:dPr>
                    <m:e>
                      <m:d>
                        <m:dPr>
                          <m:begChr m:val="["/>
                          <m:endChr m:val="]"/>
                          <m:ctrlPr>
                            <w:rPr>
                              <w:rFonts w:ascii="Cambria Math" w:hAnsi="Cambria Math"/>
                            </w:rPr>
                          </m:ctrlPr>
                        </m:dPr>
                        <m:e>
                          <m:r>
                            <m:rPr>
                              <m:sty m:val="p"/>
                            </m:rPr>
                            <w:rPr>
                              <w:rFonts w:ascii="Cambria Math" w:hAnsi="Cambria Math"/>
                            </w:rPr>
                            <m:t>I</m:t>
                          </m:r>
                        </m:e>
                      </m:d>
                      <m:sSub>
                        <m:sSubPr>
                          <m:ctrlPr>
                            <w:rPr>
                              <w:rFonts w:ascii="Cambria Math" w:hAnsi="Cambria Math"/>
                            </w:rPr>
                          </m:ctrlPr>
                        </m:sSubPr>
                        <m:e>
                          <m:r>
                            <w:rPr>
                              <w:rFonts w:ascii="Cambria Math" w:hAnsi="Cambria Math"/>
                            </w:rPr>
                            <m:t>k</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4</m:t>
                          </m:r>
                        </m:sub>
                      </m:sSub>
                    </m:e>
                  </m:d>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PI</m:t>
                      </m:r>
                    </m:sub>
                  </m:sSub>
                </m:sup>
              </m:sSup>
            </m:e>
          </m:d>
        </m:oMath>
      </m:oMathPara>
    </w:p>
    <w:p w14:paraId="2C4AAC1F" w14:textId="1704A53A" w:rsidR="005B79C2" w:rsidRDefault="005B79C2" w:rsidP="00003ED8">
      <w:pPr>
        <w:pStyle w:val="Heading2"/>
      </w:pPr>
      <w:r>
        <w:t>References</w:t>
      </w:r>
    </w:p>
    <w:p w14:paraId="7D4B0B71" w14:textId="77777777" w:rsidR="00022060" w:rsidRDefault="00022060" w:rsidP="00370DA9"/>
    <w:p w14:paraId="21B73CCC" w14:textId="77777777" w:rsidR="00457F67" w:rsidRPr="00457F67" w:rsidRDefault="00022060" w:rsidP="00077158">
      <w:pPr>
        <w:pStyle w:val="Reference"/>
      </w:pPr>
      <w:r>
        <w:rPr>
          <w:rFonts w:ascii="Calibri" w:hAnsi="Calibri" w:cs="Calibri"/>
          <w:noProof/>
          <w:sz w:val="22"/>
        </w:rPr>
        <w:fldChar w:fldCharType="begin"/>
      </w:r>
      <w:r w:rsidRPr="00573A72">
        <w:instrText xml:space="preserve"> ADDIN EN.REFLIST </w:instrText>
      </w:r>
      <w:r>
        <w:rPr>
          <w:rFonts w:ascii="Calibri" w:hAnsi="Calibri" w:cs="Calibri"/>
          <w:noProof/>
          <w:sz w:val="22"/>
        </w:rPr>
        <w:fldChar w:fldCharType="separate"/>
      </w:r>
      <w:r w:rsidR="00457F67" w:rsidRPr="00457F67">
        <w:t>1</w:t>
      </w:r>
      <w:r w:rsidR="00457F67" w:rsidRPr="00457F67">
        <w:tab/>
        <w:t xml:space="preserve">Copeland, R. A., Pompliano, D. L. &amp; Meek, T. D. Drug-target residence time and its implications for lead optimization. </w:t>
      </w:r>
      <w:r w:rsidR="00457F67" w:rsidRPr="00457F67">
        <w:rPr>
          <w:i/>
        </w:rPr>
        <w:t>Nat Rev Drug Discov</w:t>
      </w:r>
      <w:r w:rsidR="00457F67" w:rsidRPr="00457F67">
        <w:t xml:space="preserve"> </w:t>
      </w:r>
      <w:r w:rsidR="00457F67" w:rsidRPr="00457F67">
        <w:rPr>
          <w:b/>
        </w:rPr>
        <w:t>5</w:t>
      </w:r>
      <w:r w:rsidR="00457F67" w:rsidRPr="00457F67">
        <w:t>, 730-739, doi:10.1038/nrd2082 (2006).</w:t>
      </w:r>
    </w:p>
    <w:p w14:paraId="3F028BA0" w14:textId="77777777" w:rsidR="00457F67" w:rsidRPr="00457F67" w:rsidRDefault="00457F67">
      <w:pPr>
        <w:pStyle w:val="Reference"/>
      </w:pPr>
      <w:r w:rsidRPr="00457F67">
        <w:t>2</w:t>
      </w:r>
      <w:r w:rsidRPr="00457F67">
        <w:tab/>
        <w:t xml:space="preserve">Swinney, D. C. The role of binding kinetics in therapeutically useful drug action. </w:t>
      </w:r>
      <w:r w:rsidRPr="00457F67">
        <w:rPr>
          <w:i/>
        </w:rPr>
        <w:t>Curr Opin Drug Discov Devel</w:t>
      </w:r>
      <w:r w:rsidRPr="00457F67">
        <w:t xml:space="preserve"> </w:t>
      </w:r>
      <w:r w:rsidRPr="00457F67">
        <w:rPr>
          <w:b/>
        </w:rPr>
        <w:t>12</w:t>
      </w:r>
      <w:r w:rsidRPr="00457F67">
        <w:t>, 31-39 (2009).</w:t>
      </w:r>
    </w:p>
    <w:p w14:paraId="7DA51DD9" w14:textId="77777777" w:rsidR="00457F67" w:rsidRPr="00457F67" w:rsidRDefault="00457F67">
      <w:pPr>
        <w:pStyle w:val="Reference"/>
      </w:pPr>
      <w:r w:rsidRPr="00457F67">
        <w:t>3</w:t>
      </w:r>
      <w:r w:rsidRPr="00457F67">
        <w:tab/>
        <w:t xml:space="preserve">Copeland, R. A. The drug-target residence time model: a 10-year retrospective. </w:t>
      </w:r>
      <w:r w:rsidRPr="00457F67">
        <w:rPr>
          <w:i/>
        </w:rPr>
        <w:t>Nat Rev Drug Discov</w:t>
      </w:r>
      <w:r w:rsidRPr="00457F67">
        <w:t xml:space="preserve"> </w:t>
      </w:r>
      <w:r w:rsidRPr="00457F67">
        <w:rPr>
          <w:b/>
        </w:rPr>
        <w:t>15</w:t>
      </w:r>
      <w:r w:rsidRPr="00457F67">
        <w:t>, 87-95, doi:10.1038/nrd.2015.18 (2016).</w:t>
      </w:r>
    </w:p>
    <w:p w14:paraId="3A0963A6" w14:textId="77777777" w:rsidR="00457F67" w:rsidRPr="00457F67" w:rsidRDefault="00457F67">
      <w:pPr>
        <w:pStyle w:val="Reference"/>
      </w:pPr>
      <w:r w:rsidRPr="00457F67">
        <w:t>4</w:t>
      </w:r>
      <w:r w:rsidRPr="00457F67">
        <w:tab/>
        <w:t xml:space="preserve">Dahl, G. &amp; Akerud, T. Pharmacokinetics and the drug-target residence time concept. </w:t>
      </w:r>
      <w:r w:rsidRPr="00457F67">
        <w:rPr>
          <w:i/>
        </w:rPr>
        <w:t>Drug Discov Today</w:t>
      </w:r>
      <w:r w:rsidRPr="00457F67">
        <w:t xml:space="preserve"> </w:t>
      </w:r>
      <w:r w:rsidRPr="00457F67">
        <w:rPr>
          <w:b/>
        </w:rPr>
        <w:t>18</w:t>
      </w:r>
      <w:r w:rsidRPr="00457F67">
        <w:t>, 697-707, doi:10.1016/j.drudis.2013.02.010 (2013).</w:t>
      </w:r>
    </w:p>
    <w:p w14:paraId="201D271E" w14:textId="77777777" w:rsidR="00457F67" w:rsidRPr="00457F67" w:rsidRDefault="00457F67">
      <w:pPr>
        <w:pStyle w:val="Reference"/>
      </w:pPr>
      <w:r w:rsidRPr="00457F67">
        <w:t>5</w:t>
      </w:r>
      <w:r w:rsidRPr="00457F67">
        <w:tab/>
        <w:t xml:space="preserve">de Witte, W. E. A., Danhof, M., van der Graaf, P. H. &amp; de Lange, E. C. M. The implications of target saturation for the use of drug-target residence time. </w:t>
      </w:r>
      <w:r w:rsidRPr="00457F67">
        <w:rPr>
          <w:i/>
        </w:rPr>
        <w:t>Nat Rev Drug Discov</w:t>
      </w:r>
      <w:r w:rsidRPr="00457F67">
        <w:t xml:space="preserve"> </w:t>
      </w:r>
      <w:r w:rsidRPr="00457F67">
        <w:rPr>
          <w:b/>
        </w:rPr>
        <w:t>18</w:t>
      </w:r>
      <w:r w:rsidRPr="00457F67">
        <w:t>, 82-84, doi:10.1038/nrd.2018.234 (2018).</w:t>
      </w:r>
    </w:p>
    <w:p w14:paraId="5432B503" w14:textId="77777777" w:rsidR="00457F67" w:rsidRPr="00457F67" w:rsidRDefault="00457F67">
      <w:pPr>
        <w:pStyle w:val="Reference"/>
      </w:pPr>
      <w:r w:rsidRPr="00457F67">
        <w:t>6</w:t>
      </w:r>
      <w:r w:rsidRPr="00457F67">
        <w:tab/>
        <w:t xml:space="preserve">Folmer, R. H. A. Drug target residence time: a misleading concept. </w:t>
      </w:r>
      <w:r w:rsidRPr="00457F67">
        <w:rPr>
          <w:i/>
        </w:rPr>
        <w:t>Drug Discov Today</w:t>
      </w:r>
      <w:r w:rsidRPr="00457F67">
        <w:t xml:space="preserve"> </w:t>
      </w:r>
      <w:r w:rsidRPr="00457F67">
        <w:rPr>
          <w:b/>
        </w:rPr>
        <w:t>23</w:t>
      </w:r>
      <w:r w:rsidRPr="00457F67">
        <w:t>, 12-16, doi:10.1016/j.drudis.2017.07.016 (2018).</w:t>
      </w:r>
    </w:p>
    <w:p w14:paraId="7BBBB06C" w14:textId="77777777" w:rsidR="00457F67" w:rsidRPr="00457F67" w:rsidRDefault="00457F67">
      <w:pPr>
        <w:pStyle w:val="Reference"/>
      </w:pPr>
      <w:r w:rsidRPr="00457F67">
        <w:t>7</w:t>
      </w:r>
      <w:r w:rsidRPr="00457F67">
        <w:tab/>
        <w:t>Georgi, V.</w:t>
      </w:r>
      <w:r w:rsidRPr="00457F67">
        <w:rPr>
          <w:i/>
        </w:rPr>
        <w:t xml:space="preserve"> et al.</w:t>
      </w:r>
      <w:r w:rsidRPr="00457F67">
        <w:t xml:space="preserve"> Binding Kinetics Survey of the Drugged Kinome. </w:t>
      </w:r>
      <w:r w:rsidRPr="00457F67">
        <w:rPr>
          <w:i/>
        </w:rPr>
        <w:t>J Am Chem Soc</w:t>
      </w:r>
      <w:r w:rsidRPr="00457F67">
        <w:t xml:space="preserve"> </w:t>
      </w:r>
      <w:r w:rsidRPr="00457F67">
        <w:rPr>
          <w:b/>
        </w:rPr>
        <w:t>140</w:t>
      </w:r>
      <w:r w:rsidRPr="00457F67">
        <w:t>, 15774-15782, doi:10.1021/jacs.8b08048 (2018).</w:t>
      </w:r>
    </w:p>
    <w:p w14:paraId="137654F8" w14:textId="77777777" w:rsidR="00457F67" w:rsidRPr="00457F67" w:rsidRDefault="00457F67">
      <w:pPr>
        <w:pStyle w:val="Reference"/>
      </w:pPr>
      <w:r w:rsidRPr="00457F67">
        <w:t>8</w:t>
      </w:r>
      <w:r w:rsidRPr="00457F67">
        <w:tab/>
        <w:t xml:space="preserve">Guo, D., Hillger, J. M., AP, I. J. &amp; Heitman, L. H. Drug-target residence time--a case for G protein-coupled receptors. </w:t>
      </w:r>
      <w:r w:rsidRPr="00457F67">
        <w:rPr>
          <w:i/>
        </w:rPr>
        <w:t>Med Res Rev</w:t>
      </w:r>
      <w:r w:rsidRPr="00457F67">
        <w:t xml:space="preserve"> </w:t>
      </w:r>
      <w:r w:rsidRPr="00457F67">
        <w:rPr>
          <w:b/>
        </w:rPr>
        <w:t>34</w:t>
      </w:r>
      <w:r w:rsidRPr="00457F67">
        <w:t>, 856-892, doi:10.1002/med.21307 (2014).</w:t>
      </w:r>
    </w:p>
    <w:p w14:paraId="361ECB80" w14:textId="77777777" w:rsidR="00457F67" w:rsidRPr="00457F67" w:rsidRDefault="00457F67">
      <w:pPr>
        <w:pStyle w:val="Reference"/>
      </w:pPr>
      <w:r w:rsidRPr="00457F67">
        <w:t>9</w:t>
      </w:r>
      <w:r w:rsidRPr="00457F67">
        <w:tab/>
        <w:t xml:space="preserve">Swinney, D. C. Biochemical mechanisms of New Molecular Entities (NMEs) approved by United States FDA during 2001-2004: mechanisms leading to optimal efficacy and safety. </w:t>
      </w:r>
      <w:r w:rsidRPr="00457F67">
        <w:rPr>
          <w:i/>
        </w:rPr>
        <w:t>Curr Top Med Chem</w:t>
      </w:r>
      <w:r w:rsidRPr="00457F67">
        <w:t xml:space="preserve"> </w:t>
      </w:r>
      <w:r w:rsidRPr="00457F67">
        <w:rPr>
          <w:b/>
        </w:rPr>
        <w:t>6</w:t>
      </w:r>
      <w:r w:rsidRPr="00457F67">
        <w:t>, 461-478 (2006).</w:t>
      </w:r>
    </w:p>
    <w:p w14:paraId="51974436" w14:textId="77777777" w:rsidR="00457F67" w:rsidRPr="00457F67" w:rsidRDefault="00457F67">
      <w:pPr>
        <w:pStyle w:val="Reference"/>
      </w:pPr>
      <w:r w:rsidRPr="00457F67">
        <w:t>10</w:t>
      </w:r>
      <w:r w:rsidRPr="00457F67">
        <w:tab/>
        <w:t xml:space="preserve">Tonge, P. J. Drug-Target Kinetics in Drug Discovery. </w:t>
      </w:r>
      <w:r w:rsidRPr="00457F67">
        <w:rPr>
          <w:i/>
        </w:rPr>
        <w:t>ACS Chem Neurosci</w:t>
      </w:r>
      <w:r w:rsidRPr="00457F67">
        <w:t xml:space="preserve"> </w:t>
      </w:r>
      <w:r w:rsidRPr="00457F67">
        <w:rPr>
          <w:b/>
        </w:rPr>
        <w:t>9</w:t>
      </w:r>
      <w:r w:rsidRPr="00457F67">
        <w:t>, 29-39, doi:10.1021/acschemneuro.7b00185 (2018).</w:t>
      </w:r>
    </w:p>
    <w:p w14:paraId="07E55AC1" w14:textId="77777777" w:rsidR="00457F67" w:rsidRPr="00457F67" w:rsidRDefault="00457F67">
      <w:pPr>
        <w:pStyle w:val="Reference"/>
      </w:pPr>
      <w:r w:rsidRPr="00457F67">
        <w:t>11</w:t>
      </w:r>
      <w:r w:rsidRPr="00457F67">
        <w:tab/>
        <w:t xml:space="preserve">Vauquelin, G. Effects of target binding kinetics on in vivo drug efficacy: koff , kon and rebinding. </w:t>
      </w:r>
      <w:r w:rsidRPr="00457F67">
        <w:rPr>
          <w:i/>
        </w:rPr>
        <w:t>Br J Pharmacol</w:t>
      </w:r>
      <w:r w:rsidRPr="00457F67">
        <w:t xml:space="preserve"> </w:t>
      </w:r>
      <w:r w:rsidRPr="00457F67">
        <w:rPr>
          <w:b/>
        </w:rPr>
        <w:t>173</w:t>
      </w:r>
      <w:r w:rsidRPr="00457F67">
        <w:t>, 2319-2334, doi:10.1111/bph.13504 (2016).</w:t>
      </w:r>
    </w:p>
    <w:p w14:paraId="2B784E15" w14:textId="77777777" w:rsidR="00457F67" w:rsidRPr="00457F67" w:rsidRDefault="00457F67">
      <w:pPr>
        <w:pStyle w:val="Reference"/>
      </w:pPr>
      <w:r w:rsidRPr="00457F67">
        <w:lastRenderedPageBreak/>
        <w:t>12</w:t>
      </w:r>
      <w:r w:rsidRPr="00457F67">
        <w:tab/>
        <w:t>Vauquelin, G. &amp; Charlto</w:t>
      </w:r>
      <w:bookmarkStart w:id="34" w:name="_GoBack"/>
      <w:bookmarkEnd w:id="34"/>
      <w:r w:rsidRPr="00457F67">
        <w:t xml:space="preserve">n, S. J. Long-lasting target binding and rebinding as mechanisms to prolong in vivo drug action. </w:t>
      </w:r>
      <w:r w:rsidRPr="00457F67">
        <w:rPr>
          <w:i/>
        </w:rPr>
        <w:t>Br J Pharmacol</w:t>
      </w:r>
      <w:r w:rsidRPr="00457F67">
        <w:t xml:space="preserve"> </w:t>
      </w:r>
      <w:r w:rsidRPr="00457F67">
        <w:rPr>
          <w:b/>
        </w:rPr>
        <w:t>161</w:t>
      </w:r>
      <w:r w:rsidRPr="00457F67">
        <w:t>, 488-508, doi:10.1111/j.1476-5381.2010.00936.x (2010).</w:t>
      </w:r>
    </w:p>
    <w:p w14:paraId="52F3A43D" w14:textId="77777777" w:rsidR="00457F67" w:rsidRPr="00457F67" w:rsidRDefault="00457F67">
      <w:pPr>
        <w:pStyle w:val="Reference"/>
      </w:pPr>
      <w:r w:rsidRPr="00457F67">
        <w:t>13</w:t>
      </w:r>
      <w:r w:rsidRPr="00457F67">
        <w:tab/>
        <w:t xml:space="preserve">Zhang, R. &amp; Monsma, F. Binding kinetics and mechanism of action: toward the discovery and development of better and best in class drugs. </w:t>
      </w:r>
      <w:r w:rsidRPr="00457F67">
        <w:rPr>
          <w:i/>
        </w:rPr>
        <w:t>Expert Opin Drug Discov</w:t>
      </w:r>
      <w:r w:rsidRPr="00457F67">
        <w:t xml:space="preserve"> </w:t>
      </w:r>
      <w:r w:rsidRPr="00457F67">
        <w:rPr>
          <w:b/>
        </w:rPr>
        <w:t>5</w:t>
      </w:r>
      <w:r w:rsidRPr="00457F67">
        <w:t>, 1023-1029, doi:10.1517/17460441.2010.520700 (2010).</w:t>
      </w:r>
    </w:p>
    <w:p w14:paraId="134CC880" w14:textId="77777777" w:rsidR="00457F67" w:rsidRPr="00457F67" w:rsidRDefault="00457F67">
      <w:pPr>
        <w:pStyle w:val="Reference"/>
      </w:pPr>
      <w:r w:rsidRPr="00457F67">
        <w:t>14</w:t>
      </w:r>
      <w:r w:rsidRPr="00457F67">
        <w:tab/>
        <w:t xml:space="preserve">Hothersall, J. D., Brown, A. J., Dale, I. &amp; Rawlins, P. Can residence time offer a useful strategy to target agonist drugs for sustained GPCR responses? </w:t>
      </w:r>
      <w:r w:rsidRPr="00457F67">
        <w:rPr>
          <w:i/>
        </w:rPr>
        <w:t>Drug Discov Today</w:t>
      </w:r>
      <w:r w:rsidRPr="00457F67">
        <w:t xml:space="preserve"> </w:t>
      </w:r>
      <w:r w:rsidRPr="00457F67">
        <w:rPr>
          <w:b/>
        </w:rPr>
        <w:t>21</w:t>
      </w:r>
      <w:r w:rsidRPr="00457F67">
        <w:t>, 90-96, doi:10.1016/j.drudis.2015.07.015 (2016).</w:t>
      </w:r>
    </w:p>
    <w:p w14:paraId="1B241F3E" w14:textId="77777777" w:rsidR="00457F67" w:rsidRPr="00457F67" w:rsidRDefault="00457F67">
      <w:pPr>
        <w:pStyle w:val="Reference"/>
      </w:pPr>
      <w:r w:rsidRPr="00457F67">
        <w:t>15</w:t>
      </w:r>
      <w:r w:rsidRPr="00457F67">
        <w:tab/>
        <w:t xml:space="preserve">Sykes, D. A., Stoddart, L. A., Kilpatrick, L. E. &amp; Hill, S. J. Binding kinetics of ligands acting at GPCRs. </w:t>
      </w:r>
      <w:r w:rsidRPr="00457F67">
        <w:rPr>
          <w:i/>
        </w:rPr>
        <w:t>Mol Cell Endocrinol</w:t>
      </w:r>
      <w:r w:rsidRPr="00457F67">
        <w:t xml:space="preserve"> </w:t>
      </w:r>
      <w:r w:rsidRPr="00457F67">
        <w:rPr>
          <w:b/>
        </w:rPr>
        <w:t>485</w:t>
      </w:r>
      <w:r w:rsidRPr="00457F67">
        <w:t>, 9-19, doi:10.1016/j.mce.2019.01.018 (2019).</w:t>
      </w:r>
    </w:p>
    <w:p w14:paraId="5056B62C" w14:textId="77777777" w:rsidR="00457F67" w:rsidRPr="00457F67" w:rsidRDefault="00457F67">
      <w:pPr>
        <w:pStyle w:val="Reference"/>
      </w:pPr>
      <w:r w:rsidRPr="00457F67">
        <w:t>16</w:t>
      </w:r>
      <w:r w:rsidRPr="00457F67">
        <w:tab/>
        <w:t>Georgi, V.</w:t>
      </w:r>
      <w:r w:rsidRPr="00457F67">
        <w:rPr>
          <w:i/>
        </w:rPr>
        <w:t xml:space="preserve"> et al.</w:t>
      </w:r>
      <w:r w:rsidRPr="00457F67">
        <w:t xml:space="preserve"> Binding kinetics in drug discovery - A current perspective. </w:t>
      </w:r>
      <w:r w:rsidRPr="00457F67">
        <w:rPr>
          <w:i/>
        </w:rPr>
        <w:t>Front Biosci (Landmark Ed)</w:t>
      </w:r>
      <w:r w:rsidRPr="00457F67">
        <w:t xml:space="preserve"> </w:t>
      </w:r>
      <w:r w:rsidRPr="00457F67">
        <w:rPr>
          <w:b/>
        </w:rPr>
        <w:t>22</w:t>
      </w:r>
      <w:r w:rsidRPr="00457F67">
        <w:t>, 21-47, doi:10.2741/4470 (2017).</w:t>
      </w:r>
    </w:p>
    <w:p w14:paraId="0F3E944D" w14:textId="77777777" w:rsidR="00457F67" w:rsidRPr="00457F67" w:rsidRDefault="00457F67">
      <w:pPr>
        <w:pStyle w:val="Reference"/>
      </w:pPr>
      <w:r w:rsidRPr="00457F67">
        <w:t>17</w:t>
      </w:r>
      <w:r w:rsidRPr="00457F67">
        <w:tab/>
        <w:t xml:space="preserve">Hoare, S. R. J., Fleck, B. A., Williams, J. P. &amp; Grigoriadis, D. E. The importance of target binding kinetics for measuring target binding affinity in drug discovery: a case study from a CRF1 receptor antagonist program. </w:t>
      </w:r>
      <w:r w:rsidRPr="00457F67">
        <w:rPr>
          <w:i/>
        </w:rPr>
        <w:t>Drug Discov Today</w:t>
      </w:r>
      <w:r w:rsidRPr="00457F67">
        <w:t xml:space="preserve"> </w:t>
      </w:r>
      <w:r w:rsidRPr="00457F67">
        <w:rPr>
          <w:b/>
        </w:rPr>
        <w:t>25</w:t>
      </w:r>
      <w:r w:rsidRPr="00457F67">
        <w:t>, 7-14, doi:10.1016/j.drudis.2019.09.011 (2020).</w:t>
      </w:r>
    </w:p>
    <w:p w14:paraId="2D7254F1" w14:textId="77777777" w:rsidR="00457F67" w:rsidRPr="00457F67" w:rsidRDefault="00457F67">
      <w:pPr>
        <w:pStyle w:val="Reference"/>
      </w:pPr>
      <w:r w:rsidRPr="00457F67">
        <w:t>18</w:t>
      </w:r>
      <w:r w:rsidRPr="00457F67">
        <w:tab/>
        <w:t xml:space="preserve">Aranyi, P. Kinetics of the hormone-receptor interaction. Competition experiments with slowly equilibrating ligands. </w:t>
      </w:r>
      <w:r w:rsidRPr="00457F67">
        <w:rPr>
          <w:i/>
        </w:rPr>
        <w:t>Biochim Biophys Acta</w:t>
      </w:r>
      <w:r w:rsidRPr="00457F67">
        <w:t xml:space="preserve"> </w:t>
      </w:r>
      <w:r w:rsidRPr="00457F67">
        <w:rPr>
          <w:b/>
        </w:rPr>
        <w:t>628</w:t>
      </w:r>
      <w:r w:rsidRPr="00457F67">
        <w:t>, 220-227, doi:10.1016/0304-4165(80)90369-4 (1980).</w:t>
      </w:r>
    </w:p>
    <w:p w14:paraId="310219AF" w14:textId="77777777" w:rsidR="00457F67" w:rsidRPr="00457F67" w:rsidRDefault="00457F67">
      <w:pPr>
        <w:pStyle w:val="Reference"/>
      </w:pPr>
      <w:r w:rsidRPr="00457F67">
        <w:t>19</w:t>
      </w:r>
      <w:r w:rsidRPr="00457F67">
        <w:tab/>
        <w:t xml:space="preserve">Motulsky, H. J. &amp; Mahan, L. C. The kinetics of competitive radioligand binding predicted by the law of mass action. </w:t>
      </w:r>
      <w:r w:rsidRPr="00457F67">
        <w:rPr>
          <w:i/>
        </w:rPr>
        <w:t>Mol Pharmacol</w:t>
      </w:r>
      <w:r w:rsidRPr="00457F67">
        <w:t xml:space="preserve"> </w:t>
      </w:r>
      <w:r w:rsidRPr="00457F67">
        <w:rPr>
          <w:b/>
        </w:rPr>
        <w:t>25</w:t>
      </w:r>
      <w:r w:rsidRPr="00457F67">
        <w:t>, 1-9 (1984).</w:t>
      </w:r>
    </w:p>
    <w:p w14:paraId="7277DBF9" w14:textId="77777777" w:rsidR="00457F67" w:rsidRPr="00457F67" w:rsidRDefault="00457F67">
      <w:pPr>
        <w:pStyle w:val="Reference"/>
      </w:pPr>
      <w:r w:rsidRPr="00457F67">
        <w:t>20</w:t>
      </w:r>
      <w:r w:rsidRPr="00457F67">
        <w:tab/>
        <w:t xml:space="preserve">Bernetti, M., Masetti, M., Rocchia, W. &amp; Cavalli, A. Kinetics of Drug Binding and Residence Time. </w:t>
      </w:r>
      <w:r w:rsidRPr="00457F67">
        <w:rPr>
          <w:i/>
        </w:rPr>
        <w:t>Annu Rev Phys Chem</w:t>
      </w:r>
      <w:r w:rsidRPr="00457F67">
        <w:t xml:space="preserve"> </w:t>
      </w:r>
      <w:r w:rsidRPr="00457F67">
        <w:rPr>
          <w:b/>
        </w:rPr>
        <w:t>70</w:t>
      </w:r>
      <w:r w:rsidRPr="00457F67">
        <w:t>, 143-171, doi:10.1146/annurev-physchem-042018-052340 (2019).</w:t>
      </w:r>
    </w:p>
    <w:p w14:paraId="2F62EC79" w14:textId="11FA987A" w:rsidR="00457F67" w:rsidRDefault="00457F67" w:rsidP="0042324D">
      <w:pPr>
        <w:pStyle w:val="Reference"/>
      </w:pPr>
      <w:r w:rsidRPr="00457F67">
        <w:t>21</w:t>
      </w:r>
      <w:r w:rsidRPr="00457F67">
        <w:tab/>
        <w:t>Vauquelin, G., Huber, H. &amp; Swinney, D. C.</w:t>
      </w:r>
      <w:r w:rsidR="007B577F">
        <w:t>,</w:t>
      </w:r>
      <w:r w:rsidRPr="00457F67">
        <w:t xml:space="preserve"> </w:t>
      </w:r>
      <w:r w:rsidR="007B577F">
        <w:rPr>
          <w:rFonts w:ascii="Segoe UI" w:hAnsi="Segoe UI" w:cs="Segoe UI"/>
          <w:color w:val="000000"/>
          <w:szCs w:val="20"/>
        </w:rPr>
        <w:t xml:space="preserve">Experimental Methods to Determine Binding Kinetics. </w:t>
      </w:r>
      <w:r w:rsidR="007B577F" w:rsidRPr="007B577F">
        <w:rPr>
          <w:rFonts w:ascii="Segoe UI" w:hAnsi="Segoe UI" w:cs="Segoe UI"/>
          <w:i/>
          <w:color w:val="000000"/>
          <w:szCs w:val="20"/>
        </w:rPr>
        <w:t>Thermodynamics and Kinetics of Drug Binding</w:t>
      </w:r>
      <w:r w:rsidR="007B577F" w:rsidRPr="00457F67">
        <w:t xml:space="preserve"> </w:t>
      </w:r>
      <w:r w:rsidRPr="00457F67">
        <w:t>(eds G.M. Keserü &amp; D.C. Swinney) Ch. 9, 169-189 (Wiley-VCH Verlag GmbH &amp; Co. KGaA, 2015).</w:t>
      </w:r>
    </w:p>
    <w:p w14:paraId="55B84BC6" w14:textId="4E7113F3" w:rsidR="007B577F" w:rsidRPr="007B577F" w:rsidRDefault="007B577F" w:rsidP="0042324D">
      <w:pPr>
        <w:pStyle w:val="Reference"/>
        <w:rPr>
          <w:rFonts w:ascii="Segoe UI" w:hAnsi="Segoe UI" w:cs="Segoe UI"/>
          <w:color w:val="000000"/>
          <w:szCs w:val="20"/>
        </w:rPr>
      </w:pPr>
    </w:p>
    <w:p w14:paraId="479104F4" w14:textId="521BFA24" w:rsidR="00457F67" w:rsidRPr="00457F67" w:rsidRDefault="00457F67" w:rsidP="00077158">
      <w:pPr>
        <w:pStyle w:val="Reference"/>
      </w:pPr>
      <w:r w:rsidRPr="00457F67">
        <w:t>22</w:t>
      </w:r>
      <w:r w:rsidRPr="00457F67">
        <w:tab/>
        <w:t>Auld, D. S.</w:t>
      </w:r>
      <w:r w:rsidRPr="00457F67">
        <w:rPr>
          <w:i/>
        </w:rPr>
        <w:t xml:space="preserve"> et al.</w:t>
      </w:r>
      <w:r w:rsidRPr="00457F67">
        <w:t xml:space="preserve"> </w:t>
      </w:r>
      <w:r w:rsidR="00A32A3A" w:rsidRPr="00A32A3A">
        <w:t>Receptor Binding Assays for HTS and Drug Discovery</w:t>
      </w:r>
      <w:r w:rsidR="00A32A3A">
        <w:t>. I</w:t>
      </w:r>
      <w:r w:rsidRPr="00457F67">
        <w:t xml:space="preserve">n </w:t>
      </w:r>
      <w:r w:rsidRPr="00457F67">
        <w:rPr>
          <w:i/>
        </w:rPr>
        <w:t>Assay Guidance Manual</w:t>
      </w:r>
      <w:r w:rsidR="00A32A3A">
        <w:t xml:space="preserve">  </w:t>
      </w:r>
      <w:r w:rsidRPr="00457F67">
        <w:t>(eds G. S. Sittampalam</w:t>
      </w:r>
      <w:r w:rsidRPr="00457F67">
        <w:rPr>
          <w:i/>
        </w:rPr>
        <w:t xml:space="preserve"> et al.</w:t>
      </w:r>
      <w:r w:rsidRPr="00457F67">
        <w:t>)  (2004).</w:t>
      </w:r>
    </w:p>
    <w:p w14:paraId="0D825329" w14:textId="77777777" w:rsidR="00457F67" w:rsidRPr="00457F67" w:rsidRDefault="00457F67">
      <w:pPr>
        <w:pStyle w:val="Reference"/>
      </w:pPr>
      <w:r w:rsidRPr="00457F67">
        <w:t>23</w:t>
      </w:r>
      <w:r w:rsidRPr="00457F67">
        <w:tab/>
        <w:t xml:space="preserve">Alberty, R. A. &amp; Hammes, G. G. Application of the Theory of Diffusion-controlled Reactions to Enzyme Kinetics. </w:t>
      </w:r>
      <w:r w:rsidRPr="00457F67">
        <w:rPr>
          <w:i/>
        </w:rPr>
        <w:t>Journal of Physical Chemistry</w:t>
      </w:r>
      <w:r w:rsidRPr="00457F67">
        <w:t xml:space="preserve"> </w:t>
      </w:r>
      <w:r w:rsidRPr="00457F67">
        <w:rPr>
          <w:b/>
        </w:rPr>
        <w:t>62</w:t>
      </w:r>
      <w:r w:rsidRPr="00457F67">
        <w:t>, 154-159, doi:10.1021/j150560a005 (1958).</w:t>
      </w:r>
    </w:p>
    <w:p w14:paraId="32612496" w14:textId="77777777" w:rsidR="00457F67" w:rsidRPr="00457F67" w:rsidRDefault="00457F67">
      <w:pPr>
        <w:pStyle w:val="Reference"/>
      </w:pPr>
      <w:r w:rsidRPr="00457F67">
        <w:t>24</w:t>
      </w:r>
      <w:r w:rsidRPr="00457F67">
        <w:tab/>
        <w:t xml:space="preserve">Hill, T. L. Effect of rotation on the diffusion-controlled rate of ligand-protein association. </w:t>
      </w:r>
      <w:r w:rsidRPr="00457F67">
        <w:rPr>
          <w:i/>
        </w:rPr>
        <w:t>Proc Natl Acad Sci U S A</w:t>
      </w:r>
      <w:r w:rsidRPr="00457F67">
        <w:t xml:space="preserve"> </w:t>
      </w:r>
      <w:r w:rsidRPr="00457F67">
        <w:rPr>
          <w:b/>
        </w:rPr>
        <w:t>72</w:t>
      </w:r>
      <w:r w:rsidRPr="00457F67">
        <w:t>, 4918-4922, doi:10.1073/pnas.72.12.4918 (1975).</w:t>
      </w:r>
    </w:p>
    <w:p w14:paraId="02056A48" w14:textId="77777777" w:rsidR="00457F67" w:rsidRPr="00457F67" w:rsidRDefault="00457F67">
      <w:pPr>
        <w:pStyle w:val="Reference"/>
      </w:pPr>
      <w:r w:rsidRPr="00457F67">
        <w:t>25</w:t>
      </w:r>
      <w:r w:rsidRPr="00457F67">
        <w:tab/>
        <w:t xml:space="preserve">Pan, A. C., Borhani, D. W., Dror, R. O. &amp; Shaw, D. E. Molecular determinants of drug-receptor binding kinetics. </w:t>
      </w:r>
      <w:r w:rsidRPr="00457F67">
        <w:rPr>
          <w:i/>
        </w:rPr>
        <w:t>Drug Discov Today</w:t>
      </w:r>
      <w:r w:rsidRPr="00457F67">
        <w:t xml:space="preserve"> </w:t>
      </w:r>
      <w:r w:rsidRPr="00457F67">
        <w:rPr>
          <w:b/>
        </w:rPr>
        <w:t>18</w:t>
      </w:r>
      <w:r w:rsidRPr="00457F67">
        <w:t>, 667-673, doi:10.1016/j.drudis.2013.02.007 (2013).</w:t>
      </w:r>
    </w:p>
    <w:p w14:paraId="34CA7E87" w14:textId="10B76856" w:rsidR="00457F67" w:rsidRPr="00457F67" w:rsidRDefault="00457F67">
      <w:pPr>
        <w:pStyle w:val="Reference"/>
      </w:pPr>
      <w:r w:rsidRPr="00457F67">
        <w:t>26</w:t>
      </w:r>
      <w:r w:rsidRPr="00457F67">
        <w:tab/>
        <w:t>Schiele, F., Ayaz, P. &amp; Mueller-Fahrnow, A.</w:t>
      </w:r>
      <w:r w:rsidR="007B577F">
        <w:t>,</w:t>
      </w:r>
      <w:r w:rsidR="007B577F" w:rsidRPr="007B577F">
        <w:t xml:space="preserve"> The Use of Structural Information to Understand Binding Kinetics</w:t>
      </w:r>
      <w:r w:rsidR="007B577F">
        <w:t>.</w:t>
      </w:r>
      <w:r w:rsidRPr="00457F67">
        <w:t xml:space="preserve"> </w:t>
      </w:r>
      <w:r w:rsidRPr="00457F67">
        <w:rPr>
          <w:i/>
        </w:rPr>
        <w:t>Thermodynamics and Kinetics of Drug Binding.</w:t>
      </w:r>
      <w:r w:rsidRPr="00457F67">
        <w:t xml:space="preserve"> Vol. 65  (eds G.M. Keserü &amp; D. C. Swinney) Ch. 12, 237-256 (Wiley-VCH Verlag GmbH &amp; Co. KGaA, 2015).</w:t>
      </w:r>
    </w:p>
    <w:p w14:paraId="53F438D9" w14:textId="77777777" w:rsidR="00457F67" w:rsidRPr="00457F67" w:rsidRDefault="00457F67">
      <w:pPr>
        <w:pStyle w:val="Reference"/>
      </w:pPr>
      <w:r w:rsidRPr="00457F67">
        <w:t>27</w:t>
      </w:r>
      <w:r w:rsidRPr="00457F67">
        <w:tab/>
        <w:t xml:space="preserve">Rich, R. L. &amp; Myszka, D. G. Survey of the 2009 commercial optical biosensor literature. </w:t>
      </w:r>
      <w:r w:rsidRPr="00457F67">
        <w:rPr>
          <w:i/>
        </w:rPr>
        <w:t>J Mol Recognit</w:t>
      </w:r>
      <w:r w:rsidRPr="00457F67">
        <w:t xml:space="preserve"> </w:t>
      </w:r>
      <w:r w:rsidRPr="00457F67">
        <w:rPr>
          <w:b/>
        </w:rPr>
        <w:t>24</w:t>
      </w:r>
      <w:r w:rsidRPr="00457F67">
        <w:t>, 892-914, doi:10.1002/jmr.1138 (2011).</w:t>
      </w:r>
    </w:p>
    <w:p w14:paraId="5455FBAA" w14:textId="77777777" w:rsidR="00457F67" w:rsidRPr="00457F67" w:rsidRDefault="00457F67">
      <w:pPr>
        <w:pStyle w:val="Reference"/>
      </w:pPr>
      <w:r w:rsidRPr="00457F67">
        <w:lastRenderedPageBreak/>
        <w:t>28</w:t>
      </w:r>
      <w:r w:rsidRPr="00457F67">
        <w:tab/>
        <w:t xml:space="preserve">Soave, M., Briddon, S. J., Hill, S. J. &amp; Stoddart, L. A. Fluorescent ligands: Bringing light to emerging GPCR paradigms. </w:t>
      </w:r>
      <w:r w:rsidRPr="00457F67">
        <w:rPr>
          <w:i/>
        </w:rPr>
        <w:t>Br J Pharmacol</w:t>
      </w:r>
      <w:r w:rsidRPr="00457F67">
        <w:t>, doi:10.1111/bph.14953 (2019).</w:t>
      </w:r>
    </w:p>
    <w:p w14:paraId="02FB7BA5" w14:textId="77777777" w:rsidR="00457F67" w:rsidRPr="00457F67" w:rsidRDefault="00457F67">
      <w:pPr>
        <w:pStyle w:val="Reference"/>
      </w:pPr>
      <w:r w:rsidRPr="00457F67">
        <w:t>29</w:t>
      </w:r>
      <w:r w:rsidRPr="00457F67">
        <w:tab/>
        <w:t>Zwier, J. M.</w:t>
      </w:r>
      <w:r w:rsidRPr="00457F67">
        <w:rPr>
          <w:i/>
        </w:rPr>
        <w:t xml:space="preserve"> et al.</w:t>
      </w:r>
      <w:r w:rsidRPr="00457F67">
        <w:t xml:space="preserve"> A fluorescent ligand-binding alternative using Tag-lite(R) technology. </w:t>
      </w:r>
      <w:r w:rsidRPr="00457F67">
        <w:rPr>
          <w:i/>
        </w:rPr>
        <w:t>J Biomol Screen</w:t>
      </w:r>
      <w:r w:rsidRPr="00457F67">
        <w:t xml:space="preserve"> </w:t>
      </w:r>
      <w:r w:rsidRPr="00457F67">
        <w:rPr>
          <w:b/>
        </w:rPr>
        <w:t>15</w:t>
      </w:r>
      <w:r w:rsidRPr="00457F67">
        <w:t>, 1248-1259, doi:10.1177/1087057110384611 (2010).</w:t>
      </w:r>
    </w:p>
    <w:p w14:paraId="4B80BDFB" w14:textId="77777777" w:rsidR="00457F67" w:rsidRPr="00457F67" w:rsidRDefault="00457F67">
      <w:pPr>
        <w:pStyle w:val="Reference"/>
      </w:pPr>
      <w:r w:rsidRPr="00457F67">
        <w:t>30</w:t>
      </w:r>
      <w:r w:rsidRPr="00457F67">
        <w:tab/>
        <w:t xml:space="preserve">Freyer, M. W. &amp; Lewis, E. A. Isothermal titration calorimetry: experimental design, data analysis, and probing macromolecule/ligand binding and kinetic interactions. </w:t>
      </w:r>
      <w:r w:rsidRPr="00457F67">
        <w:rPr>
          <w:i/>
        </w:rPr>
        <w:t>Methods Cell Biol</w:t>
      </w:r>
      <w:r w:rsidRPr="00457F67">
        <w:t xml:space="preserve"> </w:t>
      </w:r>
      <w:r w:rsidRPr="00457F67">
        <w:rPr>
          <w:b/>
        </w:rPr>
        <w:t>84</w:t>
      </w:r>
      <w:r w:rsidRPr="00457F67">
        <w:t>, 79-113, doi:10.1016/S0091-679X(07)84004-0 (2008).</w:t>
      </w:r>
    </w:p>
    <w:p w14:paraId="0275BA85" w14:textId="2433AB97" w:rsidR="00457F67" w:rsidRPr="00457F67" w:rsidRDefault="00457F67">
      <w:pPr>
        <w:pStyle w:val="Reference"/>
      </w:pPr>
      <w:r w:rsidRPr="00457F67">
        <w:t>31</w:t>
      </w:r>
      <w:r w:rsidRPr="00457F67">
        <w:tab/>
      </w:r>
      <w:r w:rsidR="00E9025E" w:rsidRPr="00E9025E">
        <w:t xml:space="preserve">Copeland, R. A., Slow binding inhibitors. </w:t>
      </w:r>
      <w:r w:rsidR="00E9025E" w:rsidRPr="00E9025E">
        <w:rPr>
          <w:i/>
        </w:rPr>
        <w:t>Evaluation of enzyme inhibitors in drug discovery</w:t>
      </w:r>
      <w:r w:rsidR="00E9025E" w:rsidRPr="00E9025E">
        <w:t xml:space="preserve"> Ch. 6, 203-244 (Wiley, 2013).</w:t>
      </w:r>
    </w:p>
    <w:p w14:paraId="6EDD4B33" w14:textId="6D4A96EB" w:rsidR="00457F67" w:rsidRPr="00457F67" w:rsidRDefault="00457F67">
      <w:pPr>
        <w:pStyle w:val="Reference"/>
      </w:pPr>
      <w:r w:rsidRPr="00457F67">
        <w:t>32</w:t>
      </w:r>
      <w:r w:rsidRPr="00457F67">
        <w:tab/>
        <w:t>Copeland, R. A.</w:t>
      </w:r>
      <w:r w:rsidR="007B577F">
        <w:t xml:space="preserve">, </w:t>
      </w:r>
      <w:r w:rsidR="007B577F" w:rsidRPr="007B577F">
        <w:t>Drug-target residence time</w:t>
      </w:r>
      <w:r w:rsidR="007B577F">
        <w:t>.</w:t>
      </w:r>
      <w:r w:rsidRPr="00457F67">
        <w:t xml:space="preserve"> </w:t>
      </w:r>
      <w:r w:rsidRPr="00457F67">
        <w:rPr>
          <w:i/>
        </w:rPr>
        <w:t>Evaluation of enzyme inhibitors in drug discovery</w:t>
      </w:r>
      <w:r w:rsidRPr="00457F67">
        <w:t xml:space="preserve"> Ch. 8, 287-344 (Wiley, 2013).</w:t>
      </w:r>
    </w:p>
    <w:p w14:paraId="007E2DB1" w14:textId="77777777" w:rsidR="00457F67" w:rsidRPr="00457F67" w:rsidRDefault="00457F67">
      <w:pPr>
        <w:pStyle w:val="Reference"/>
      </w:pPr>
      <w:r w:rsidRPr="00457F67">
        <w:t>33</w:t>
      </w:r>
      <w:r w:rsidRPr="00457F67">
        <w:tab/>
        <w:t xml:space="preserve">Morrison, J. F. &amp; Walsh, C. T. The behavior and significance of slow-binding enzyme inhibitors. </w:t>
      </w:r>
      <w:r w:rsidRPr="00457F67">
        <w:rPr>
          <w:i/>
        </w:rPr>
        <w:t>Adv Enzymol Relat Areas Mol Biol</w:t>
      </w:r>
      <w:r w:rsidRPr="00457F67">
        <w:t xml:space="preserve"> </w:t>
      </w:r>
      <w:r w:rsidRPr="00457F67">
        <w:rPr>
          <w:b/>
        </w:rPr>
        <w:t>61</w:t>
      </w:r>
      <w:r w:rsidRPr="00457F67">
        <w:t>, 201-301, doi:10.1002/9780470123072.ch5 (1988).</w:t>
      </w:r>
    </w:p>
    <w:p w14:paraId="1F38E935" w14:textId="77777777" w:rsidR="00457F67" w:rsidRPr="00457F67" w:rsidRDefault="00457F67">
      <w:pPr>
        <w:pStyle w:val="Reference"/>
      </w:pPr>
      <w:r w:rsidRPr="00457F67">
        <w:t>34</w:t>
      </w:r>
      <w:r w:rsidRPr="00457F67">
        <w:tab/>
        <w:t xml:space="preserve">Szedlacsek, S. E. &amp; Duggleby, R. G. Kinetics of slow and tight-binding inhibitors. </w:t>
      </w:r>
      <w:r w:rsidRPr="00457F67">
        <w:rPr>
          <w:i/>
        </w:rPr>
        <w:t>Methods Enzymol</w:t>
      </w:r>
      <w:r w:rsidRPr="00457F67">
        <w:t xml:space="preserve"> </w:t>
      </w:r>
      <w:r w:rsidRPr="00457F67">
        <w:rPr>
          <w:b/>
        </w:rPr>
        <w:t>249</w:t>
      </w:r>
      <w:r w:rsidRPr="00457F67">
        <w:t>, 144-180, doi:10.1016/0076-6879(95)49034-5 (1995).</w:t>
      </w:r>
    </w:p>
    <w:p w14:paraId="076A9A5C" w14:textId="77777777" w:rsidR="00457F67" w:rsidRPr="00457F67" w:rsidRDefault="00457F67">
      <w:pPr>
        <w:pStyle w:val="Reference"/>
      </w:pPr>
      <w:r w:rsidRPr="00457F67">
        <w:t>35</w:t>
      </w:r>
      <w:r w:rsidRPr="00457F67">
        <w:tab/>
        <w:t>Bosma, R.</w:t>
      </w:r>
      <w:r w:rsidRPr="00457F67">
        <w:rPr>
          <w:i/>
        </w:rPr>
        <w:t xml:space="preserve"> et al.</w:t>
      </w:r>
      <w:r w:rsidRPr="00457F67">
        <w:t xml:space="preserve"> The Target Residence Time of Antihistamines Determines Their Antagonism of the G Protein-Coupled Histamine H1 Receptor. </w:t>
      </w:r>
      <w:r w:rsidRPr="00457F67">
        <w:rPr>
          <w:i/>
        </w:rPr>
        <w:t>Front Pharmacol</w:t>
      </w:r>
      <w:r w:rsidRPr="00457F67">
        <w:t xml:space="preserve"> </w:t>
      </w:r>
      <w:r w:rsidRPr="00457F67">
        <w:rPr>
          <w:b/>
        </w:rPr>
        <w:t>8</w:t>
      </w:r>
      <w:r w:rsidRPr="00457F67">
        <w:t>, 667, doi:10.3389/fphar.2017.00667 (2017).</w:t>
      </w:r>
    </w:p>
    <w:p w14:paraId="4E2E0424" w14:textId="77777777" w:rsidR="00457F67" w:rsidRPr="00457F67" w:rsidRDefault="00457F67">
      <w:pPr>
        <w:pStyle w:val="Reference"/>
      </w:pPr>
      <w:r w:rsidRPr="00457F67">
        <w:t>36</w:t>
      </w:r>
      <w:r w:rsidRPr="00457F67">
        <w:tab/>
        <w:t xml:space="preserve">Kenakin, T., Jenkinson, S. &amp; Watson, C. Determining the potency and molecular mechanism of action of insurmountable antagonists. </w:t>
      </w:r>
      <w:r w:rsidRPr="00457F67">
        <w:rPr>
          <w:i/>
        </w:rPr>
        <w:t>J Pharmacol Exp Ther</w:t>
      </w:r>
      <w:r w:rsidRPr="00457F67">
        <w:t xml:space="preserve"> </w:t>
      </w:r>
      <w:r w:rsidRPr="00457F67">
        <w:rPr>
          <w:b/>
        </w:rPr>
        <w:t>319</w:t>
      </w:r>
      <w:r w:rsidRPr="00457F67">
        <w:t>, 710-723, doi:10.1124/jpet.106.107375 (2006).</w:t>
      </w:r>
    </w:p>
    <w:p w14:paraId="5FDD6A73" w14:textId="77777777" w:rsidR="00457F67" w:rsidRPr="00457F67" w:rsidRDefault="00457F67">
      <w:pPr>
        <w:pStyle w:val="Reference"/>
      </w:pPr>
      <w:r w:rsidRPr="00457F67">
        <w:t>37</w:t>
      </w:r>
      <w:r w:rsidRPr="00457F67">
        <w:tab/>
        <w:t xml:space="preserve">Mould, R., Brown, J., Marshall, F. H. &amp; Langmead, C. J. Binding kinetics differentiates functional antagonism of orexin-2 receptor ligands. </w:t>
      </w:r>
      <w:r w:rsidRPr="00457F67">
        <w:rPr>
          <w:i/>
        </w:rPr>
        <w:t>Br J Pharmacol</w:t>
      </w:r>
      <w:r w:rsidRPr="00457F67">
        <w:t xml:space="preserve"> </w:t>
      </w:r>
      <w:r w:rsidRPr="00457F67">
        <w:rPr>
          <w:b/>
        </w:rPr>
        <w:t>171</w:t>
      </w:r>
      <w:r w:rsidRPr="00457F67">
        <w:t>, 351-363, doi:10.1111/bph.12245 (2014).</w:t>
      </w:r>
    </w:p>
    <w:p w14:paraId="7894FF15" w14:textId="77777777" w:rsidR="00457F67" w:rsidRPr="00457F67" w:rsidRDefault="00457F67">
      <w:pPr>
        <w:pStyle w:val="Reference"/>
      </w:pPr>
      <w:r w:rsidRPr="00457F67">
        <w:t>38</w:t>
      </w:r>
      <w:r w:rsidRPr="00457F67">
        <w:tab/>
        <w:t>Sahlholm, K.</w:t>
      </w:r>
      <w:r w:rsidRPr="00457F67">
        <w:rPr>
          <w:i/>
        </w:rPr>
        <w:t xml:space="preserve"> et al.</w:t>
      </w:r>
      <w:r w:rsidRPr="00457F67">
        <w:t xml:space="preserve"> The fast-off hypothesis revisited: A functional kinetic study of antipsychotic antagonism of the dopamine D2 receptor. </w:t>
      </w:r>
      <w:r w:rsidRPr="00457F67">
        <w:rPr>
          <w:i/>
        </w:rPr>
        <w:t>Eur Neuropsychopharmacol</w:t>
      </w:r>
      <w:r w:rsidRPr="00457F67">
        <w:t xml:space="preserve"> </w:t>
      </w:r>
      <w:r w:rsidRPr="00457F67">
        <w:rPr>
          <w:b/>
        </w:rPr>
        <w:t>26</w:t>
      </w:r>
      <w:r w:rsidRPr="00457F67">
        <w:t>, 467-476, doi:10.1016/j.euroneuro.2016.01.001 (2016).</w:t>
      </w:r>
    </w:p>
    <w:p w14:paraId="0EA1E597" w14:textId="77777777" w:rsidR="00457F67" w:rsidRPr="00457F67" w:rsidRDefault="00457F67">
      <w:pPr>
        <w:pStyle w:val="Reference"/>
      </w:pPr>
      <w:r w:rsidRPr="00457F67">
        <w:t>39</w:t>
      </w:r>
      <w:r w:rsidRPr="00457F67">
        <w:tab/>
        <w:t xml:space="preserve">Hoare, S. R. J., Pierre, N., Moya, A. G. &amp; Larson, B. Kinetic operational models of agonism for G-protein-coupled receptors. </w:t>
      </w:r>
      <w:r w:rsidRPr="00457F67">
        <w:rPr>
          <w:i/>
        </w:rPr>
        <w:t>J Theor Biol</w:t>
      </w:r>
      <w:r w:rsidRPr="00457F67">
        <w:t xml:space="preserve"> </w:t>
      </w:r>
      <w:r w:rsidRPr="00457F67">
        <w:rPr>
          <w:b/>
        </w:rPr>
        <w:t>446</w:t>
      </w:r>
      <w:r w:rsidRPr="00457F67">
        <w:t>, 168-204, doi:10.1016/j.jtbi.2018.02.014 (2018).</w:t>
      </w:r>
    </w:p>
    <w:p w14:paraId="5EDF7445" w14:textId="77777777" w:rsidR="00457F67" w:rsidRPr="00457F67" w:rsidRDefault="00457F67">
      <w:pPr>
        <w:pStyle w:val="Reference"/>
      </w:pPr>
      <w:r w:rsidRPr="00457F67">
        <w:t>40</w:t>
      </w:r>
      <w:r w:rsidRPr="00457F67">
        <w:tab/>
        <w:t xml:space="preserve">Lehnert, T. &amp; Figge, M. T. Dimensionality of Motion and Binding Valency Govern Receptor-Ligand Kinetics As Revealed by Agent-Based Modeling. </w:t>
      </w:r>
      <w:r w:rsidRPr="00457F67">
        <w:rPr>
          <w:i/>
        </w:rPr>
        <w:t>Front Immunol</w:t>
      </w:r>
      <w:r w:rsidRPr="00457F67">
        <w:t xml:space="preserve"> </w:t>
      </w:r>
      <w:r w:rsidRPr="00457F67">
        <w:rPr>
          <w:b/>
        </w:rPr>
        <w:t>8</w:t>
      </w:r>
      <w:r w:rsidRPr="00457F67">
        <w:t>, 1692, doi:10.3389/fimmu.2017.01692 (2017).</w:t>
      </w:r>
    </w:p>
    <w:p w14:paraId="6AEDFF1C" w14:textId="47A19329" w:rsidR="00457F67" w:rsidRPr="00457F67" w:rsidRDefault="00457F67">
      <w:pPr>
        <w:pStyle w:val="Reference"/>
      </w:pPr>
      <w:r w:rsidRPr="00457F67">
        <w:t>41</w:t>
      </w:r>
      <w:r w:rsidRPr="00457F67">
        <w:tab/>
        <w:t xml:space="preserve">Motulsky, H. J. </w:t>
      </w:r>
      <w:r w:rsidRPr="00457F67">
        <w:rPr>
          <w:i/>
        </w:rPr>
        <w:t xml:space="preserve">Equation: One phase association. </w:t>
      </w:r>
      <w:r w:rsidRPr="00457F67">
        <w:t>&lt;</w:t>
      </w:r>
      <w:r w:rsidR="00E9025E" w:rsidRPr="00E9025E">
        <w:t>http://www.graphpad.com/guides/prism/latest/curve-fitting/reg_exponential_association.htm</w:t>
      </w:r>
      <w:r w:rsidRPr="00457F67">
        <w:t>&gt; (2019).</w:t>
      </w:r>
    </w:p>
    <w:p w14:paraId="71DDC0FF" w14:textId="77777777" w:rsidR="00457F67" w:rsidRPr="00457F67" w:rsidRDefault="00457F67">
      <w:pPr>
        <w:pStyle w:val="Reference"/>
      </w:pPr>
      <w:r w:rsidRPr="00457F67">
        <w:t>42</w:t>
      </w:r>
      <w:r w:rsidRPr="00457F67">
        <w:tab/>
        <w:t xml:space="preserve">Strickland, S., Palmer, G. &amp; Massey, V. Determination of dissociation constants and specific rate constants of enzyme-substrate (or protein-ligand) interactions from rapid reaction kinetic data. </w:t>
      </w:r>
      <w:r w:rsidRPr="00457F67">
        <w:rPr>
          <w:i/>
        </w:rPr>
        <w:t>J Biol Chem</w:t>
      </w:r>
      <w:r w:rsidRPr="00457F67">
        <w:t xml:space="preserve"> </w:t>
      </w:r>
      <w:r w:rsidRPr="00457F67">
        <w:rPr>
          <w:b/>
        </w:rPr>
        <w:t>250</w:t>
      </w:r>
      <w:r w:rsidRPr="00457F67">
        <w:t>, 4048-4052 (1975).</w:t>
      </w:r>
    </w:p>
    <w:p w14:paraId="412A4679" w14:textId="5459FF39" w:rsidR="00457F67" w:rsidRPr="00457F67" w:rsidRDefault="00457F67">
      <w:pPr>
        <w:pStyle w:val="Reference"/>
      </w:pPr>
      <w:r w:rsidRPr="00457F67">
        <w:t>43</w:t>
      </w:r>
      <w:r w:rsidRPr="00457F67">
        <w:tab/>
        <w:t xml:space="preserve">Motulsky, H. J. </w:t>
      </w:r>
      <w:r w:rsidRPr="00457F67">
        <w:rPr>
          <w:i/>
        </w:rPr>
        <w:t>Equation: One phase decay.</w:t>
      </w:r>
      <w:r w:rsidRPr="00457F67">
        <w:t xml:space="preserve"> &lt;</w:t>
      </w:r>
      <w:r w:rsidR="00E9025E" w:rsidRPr="00E9025E">
        <w:rPr>
          <w:rStyle w:val="Hyperlink"/>
        </w:rPr>
        <w:t>http://www.graphpad.com/guides/prism/latest/curve-fitting/reg_exponential_decay_1phase.htm</w:t>
      </w:r>
      <w:r w:rsidRPr="00457F67">
        <w:t>&gt; (2020).</w:t>
      </w:r>
    </w:p>
    <w:p w14:paraId="2DB67D93" w14:textId="77777777" w:rsidR="00457F67" w:rsidRPr="00457F67" w:rsidRDefault="00457F67">
      <w:pPr>
        <w:pStyle w:val="Reference"/>
      </w:pPr>
      <w:r w:rsidRPr="00457F67">
        <w:t>44</w:t>
      </w:r>
      <w:r w:rsidRPr="00457F67">
        <w:tab/>
        <w:t xml:space="preserve">Hoare, S. R., de Vries, G. &amp; Usdin, T. B. Measurement of agonist and antagonist ligand-binding parameters at the human parathyroid hormone type 1 receptor: evaluation of receptor states and modulation by guanine nucleotide. </w:t>
      </w:r>
      <w:r w:rsidRPr="00457F67">
        <w:rPr>
          <w:i/>
        </w:rPr>
        <w:t>J Pharmacol Exp Ther</w:t>
      </w:r>
      <w:r w:rsidRPr="00457F67">
        <w:t xml:space="preserve"> </w:t>
      </w:r>
      <w:r w:rsidRPr="00457F67">
        <w:rPr>
          <w:b/>
        </w:rPr>
        <w:t>289</w:t>
      </w:r>
      <w:r w:rsidRPr="00457F67">
        <w:t>, 1323-1333 (1999).</w:t>
      </w:r>
    </w:p>
    <w:p w14:paraId="7DFA873C" w14:textId="77777777" w:rsidR="00457F67" w:rsidRPr="00457F67" w:rsidRDefault="00457F67">
      <w:pPr>
        <w:pStyle w:val="Reference"/>
      </w:pPr>
      <w:r w:rsidRPr="00457F67">
        <w:lastRenderedPageBreak/>
        <w:t>45</w:t>
      </w:r>
      <w:r w:rsidRPr="00457F67">
        <w:tab/>
        <w:t xml:space="preserve">Sykes, D. A., Jain, P. &amp; Charlton, S. J. Investigating the Influence of Tracer Kinetics on Competition-Kinetic Association Binding Assays: Identifying the Optimal Conditions for Assessing the Kinetics of Low-Affinity Compounds. </w:t>
      </w:r>
      <w:r w:rsidRPr="00457F67">
        <w:rPr>
          <w:i/>
        </w:rPr>
        <w:t>Mol Pharmacol</w:t>
      </w:r>
      <w:r w:rsidRPr="00457F67">
        <w:t xml:space="preserve"> </w:t>
      </w:r>
      <w:r w:rsidRPr="00457F67">
        <w:rPr>
          <w:b/>
        </w:rPr>
        <w:t>96</w:t>
      </w:r>
      <w:r w:rsidRPr="00457F67">
        <w:t>, 378-392, doi:10.1124/mol.119.116764 (2019).</w:t>
      </w:r>
    </w:p>
    <w:p w14:paraId="2DD58E15" w14:textId="77777777" w:rsidR="00457F67" w:rsidRPr="00457F67" w:rsidRDefault="00457F67">
      <w:pPr>
        <w:pStyle w:val="Reference"/>
      </w:pPr>
      <w:r w:rsidRPr="00457F67">
        <w:t>46</w:t>
      </w:r>
      <w:r w:rsidRPr="00457F67">
        <w:tab/>
        <w:t xml:space="preserve">Georgi, V., Dubrovskiy, A., Steigele, S. &amp; Fernandez-Montalvan, A. E. Considerations for improved performance of competition association assays analysed with the Motulsky-Mahan's "kinetics of competitive binding" model. </w:t>
      </w:r>
      <w:r w:rsidRPr="00457F67">
        <w:rPr>
          <w:i/>
        </w:rPr>
        <w:t>Br J Pharmacol</w:t>
      </w:r>
      <w:r w:rsidRPr="00457F67">
        <w:t xml:space="preserve"> </w:t>
      </w:r>
      <w:r w:rsidRPr="00457F67">
        <w:rPr>
          <w:b/>
        </w:rPr>
        <w:t>176</w:t>
      </w:r>
      <w:r w:rsidRPr="00457F67">
        <w:t>, 4731-4744, doi:10.1111/bph.14841 (2019).</w:t>
      </w:r>
    </w:p>
    <w:p w14:paraId="35D4DAA5" w14:textId="741DDFDA" w:rsidR="00457F67" w:rsidRPr="00457F67" w:rsidRDefault="00457F67">
      <w:pPr>
        <w:pStyle w:val="Reference"/>
      </w:pPr>
      <w:r w:rsidRPr="00457F67">
        <w:t>47</w:t>
      </w:r>
      <w:r w:rsidRPr="00457F67">
        <w:tab/>
        <w:t xml:space="preserve">Motulsky, H. J. </w:t>
      </w:r>
      <w:r w:rsidRPr="00457F67">
        <w:rPr>
          <w:i/>
        </w:rPr>
        <w:t>Equation: Association kinetics (one ligand concentration)</w:t>
      </w:r>
      <w:r w:rsidR="00154769">
        <w:rPr>
          <w:i/>
        </w:rPr>
        <w:t xml:space="preserve"> </w:t>
      </w:r>
      <w:r w:rsidRPr="00457F67">
        <w:t>&lt;</w:t>
      </w:r>
      <w:r w:rsidR="00E9025E" w:rsidRPr="00E9025E">
        <w:rPr>
          <w:rStyle w:val="Hyperlink"/>
        </w:rPr>
        <w:t>http://www.graphpad.com/guides/prism/latest/curve-fitting/reg_association1.htm</w:t>
      </w:r>
      <w:r w:rsidRPr="00457F67">
        <w:t>&gt; (2019).</w:t>
      </w:r>
    </w:p>
    <w:p w14:paraId="64E6A2FB" w14:textId="2FF9E1E0" w:rsidR="00457F67" w:rsidRPr="00457F67" w:rsidRDefault="00457F67">
      <w:pPr>
        <w:pStyle w:val="Reference"/>
      </w:pPr>
      <w:r w:rsidRPr="00457F67">
        <w:t>48</w:t>
      </w:r>
      <w:r w:rsidRPr="00457F67">
        <w:tab/>
        <w:t xml:space="preserve">Motulsky, H. J. </w:t>
      </w:r>
      <w:r w:rsidRPr="00457F67">
        <w:rPr>
          <w:i/>
        </w:rPr>
        <w:t xml:space="preserve">Equation: Kinetics of competitive binding. </w:t>
      </w:r>
      <w:r w:rsidRPr="00457F67">
        <w:t>&lt;</w:t>
      </w:r>
      <w:r w:rsidR="00E9025E" w:rsidRPr="00E9025E">
        <w:t>http://www.graphpad.com/guides/prism/latest/curve-fitting/reg_kinetics_of_competitive_bindin.htm?q=kinetics+of+competitive+binding</w:t>
      </w:r>
      <w:r w:rsidRPr="00457F67">
        <w:t>&gt; (2019).</w:t>
      </w:r>
    </w:p>
    <w:p w14:paraId="66EEF7F0" w14:textId="77777777" w:rsidR="00457F67" w:rsidRPr="00457F67" w:rsidRDefault="00457F67">
      <w:pPr>
        <w:pStyle w:val="Reference"/>
      </w:pPr>
      <w:r w:rsidRPr="00BE01EC">
        <w:rPr>
          <w:lang w:val="es-CO"/>
        </w:rPr>
        <w:t>49</w:t>
      </w:r>
      <w:r w:rsidRPr="00BE01EC">
        <w:rPr>
          <w:lang w:val="es-CO"/>
        </w:rPr>
        <w:tab/>
        <w:t>Sykes, D. A.</w:t>
      </w:r>
      <w:r w:rsidRPr="00BE01EC">
        <w:rPr>
          <w:i/>
          <w:lang w:val="es-CO"/>
        </w:rPr>
        <w:t xml:space="preserve"> et al.</w:t>
      </w:r>
      <w:r w:rsidRPr="00BE01EC">
        <w:rPr>
          <w:lang w:val="es-CO"/>
        </w:rPr>
        <w:t xml:space="preserve"> </w:t>
      </w:r>
      <w:r w:rsidRPr="00457F67">
        <w:t xml:space="preserve">Fevipiprant (QAW039), a Slowly Dissociating CRTh2 Antagonist with the Potential for Improved Clinical Efficacy. </w:t>
      </w:r>
      <w:r w:rsidRPr="00457F67">
        <w:rPr>
          <w:i/>
        </w:rPr>
        <w:t>Mol Pharmacol</w:t>
      </w:r>
      <w:r w:rsidRPr="00457F67">
        <w:t xml:space="preserve"> </w:t>
      </w:r>
      <w:r w:rsidRPr="00457F67">
        <w:rPr>
          <w:b/>
        </w:rPr>
        <w:t>89</w:t>
      </w:r>
      <w:r w:rsidRPr="00457F67">
        <w:t>, 593-605, doi:10.1124/mol.115.101832 (2016).</w:t>
      </w:r>
    </w:p>
    <w:p w14:paraId="43434946" w14:textId="77777777" w:rsidR="00457F67" w:rsidRPr="00457F67" w:rsidRDefault="00457F67">
      <w:pPr>
        <w:pStyle w:val="Reference"/>
      </w:pPr>
      <w:r w:rsidRPr="00457F67">
        <w:t>50</w:t>
      </w:r>
      <w:r w:rsidRPr="00457F67">
        <w:tab/>
        <w:t>Sykes, D. A.</w:t>
      </w:r>
      <w:r w:rsidRPr="00457F67">
        <w:rPr>
          <w:i/>
        </w:rPr>
        <w:t xml:space="preserve"> et al.</w:t>
      </w:r>
      <w:r w:rsidRPr="00457F67">
        <w:t xml:space="preserve"> The Influence of receptor kinetics on the onset and duration of action and the therapeutic index of NVA237 and tiotropium. </w:t>
      </w:r>
      <w:r w:rsidRPr="00457F67">
        <w:rPr>
          <w:i/>
        </w:rPr>
        <w:t>J Pharmacol Exp Ther</w:t>
      </w:r>
      <w:r w:rsidRPr="00457F67">
        <w:t xml:space="preserve"> </w:t>
      </w:r>
      <w:r w:rsidRPr="00457F67">
        <w:rPr>
          <w:b/>
        </w:rPr>
        <w:t>343</w:t>
      </w:r>
      <w:r w:rsidRPr="00457F67">
        <w:t>, 520-528, doi:10.1124/jpet.112.194456 (2012).</w:t>
      </w:r>
    </w:p>
    <w:p w14:paraId="40DC10A4" w14:textId="4DF3AB4B" w:rsidR="00457F67" w:rsidRDefault="00457F67" w:rsidP="0042324D">
      <w:pPr>
        <w:pStyle w:val="Reference"/>
      </w:pPr>
      <w:r w:rsidRPr="00457F67">
        <w:t>51</w:t>
      </w:r>
      <w:r w:rsidRPr="00457F67">
        <w:tab/>
        <w:t>Barkan, K.</w:t>
      </w:r>
      <w:r w:rsidRPr="00457F67">
        <w:rPr>
          <w:i/>
        </w:rPr>
        <w:t xml:space="preserve"> et al.</w:t>
      </w:r>
      <w:r w:rsidRPr="00457F67">
        <w:t xml:space="preserve"> Pharmacological Characterisation of Novel Adenosine Receptor A3R Antagonists. </w:t>
      </w:r>
      <w:r w:rsidRPr="00457F67">
        <w:rPr>
          <w:i/>
        </w:rPr>
        <w:t>Sci Rep</w:t>
      </w:r>
      <w:r w:rsidRPr="00457F67">
        <w:t xml:space="preserve"> </w:t>
      </w:r>
      <w:r w:rsidR="00B2772D">
        <w:rPr>
          <w:rFonts w:ascii="Segoe UI" w:hAnsi="Segoe UI" w:cs="Segoe UI"/>
          <w:color w:val="000000"/>
          <w:szCs w:val="20"/>
        </w:rPr>
        <w:t xml:space="preserve">https://pubmed.ncbi.nlm.nih.gov/33247159/ </w:t>
      </w:r>
      <w:r w:rsidRPr="00457F67">
        <w:t>(2020).</w:t>
      </w:r>
    </w:p>
    <w:p w14:paraId="17FF4DD7" w14:textId="77777777" w:rsidR="00B2772D" w:rsidRPr="00457F67" w:rsidRDefault="00B2772D" w:rsidP="0042324D">
      <w:pPr>
        <w:pStyle w:val="Reference"/>
      </w:pPr>
    </w:p>
    <w:p w14:paraId="199F2B4C" w14:textId="5D5F06FF" w:rsidR="00457F67" w:rsidRPr="00457F67" w:rsidRDefault="00457F67" w:rsidP="00077158">
      <w:pPr>
        <w:pStyle w:val="Reference"/>
      </w:pPr>
      <w:r w:rsidRPr="00457F67">
        <w:t>52</w:t>
      </w:r>
      <w:r w:rsidRPr="00457F67">
        <w:tab/>
        <w:t xml:space="preserve">Motulsky, H. J. </w:t>
      </w:r>
      <w:r w:rsidRPr="00457F67">
        <w:rPr>
          <w:i/>
        </w:rPr>
        <w:t>Extensions of the kinetics of competitive binding equation for rapid competitor kinetics or alternative order of reagant addition.</w:t>
      </w:r>
      <w:r w:rsidR="00154769">
        <w:rPr>
          <w:i/>
        </w:rPr>
        <w:t xml:space="preserve"> </w:t>
      </w:r>
      <w:r w:rsidRPr="00457F67">
        <w:t>&lt;</w:t>
      </w:r>
      <w:r w:rsidR="00154769" w:rsidRPr="00BE01EC">
        <w:t>www.graphpad.com/support/faqid/2102/</w:t>
      </w:r>
      <w:r w:rsidRPr="00457F67">
        <w:t>&gt; (2020).</w:t>
      </w:r>
    </w:p>
    <w:p w14:paraId="1B2C87E2" w14:textId="77777777" w:rsidR="00457F67" w:rsidRPr="00457F67" w:rsidRDefault="00457F67">
      <w:pPr>
        <w:pStyle w:val="Reference"/>
      </w:pPr>
      <w:r w:rsidRPr="00457F67">
        <w:t>53</w:t>
      </w:r>
      <w:r w:rsidRPr="00457F67">
        <w:tab/>
        <w:t xml:space="preserve">Hoare, S. R. J. Receptor binding kinetics equations: Derivation using the Laplace transform method. </w:t>
      </w:r>
      <w:r w:rsidRPr="00457F67">
        <w:rPr>
          <w:i/>
        </w:rPr>
        <w:t>J Pharmacol Toxicol Methods</w:t>
      </w:r>
      <w:r w:rsidRPr="00457F67">
        <w:t xml:space="preserve"> </w:t>
      </w:r>
      <w:r w:rsidRPr="00457F67">
        <w:rPr>
          <w:b/>
        </w:rPr>
        <w:t>89</w:t>
      </w:r>
      <w:r w:rsidRPr="00457F67">
        <w:t>, 26-38, doi:10.1016/j.vascn.2017.08.004 (2018).</w:t>
      </w:r>
    </w:p>
    <w:p w14:paraId="53DE43CE" w14:textId="77777777" w:rsidR="00457F67" w:rsidRPr="00457F67" w:rsidRDefault="00457F67">
      <w:pPr>
        <w:pStyle w:val="Reference"/>
      </w:pPr>
      <w:r w:rsidRPr="00457F67">
        <w:t>54</w:t>
      </w:r>
      <w:r w:rsidRPr="00457F67">
        <w:tab/>
        <w:t xml:space="preserve">Shimizu, Y., Ogawa, K. &amp; Nakayama, M. Characterization of Kinetic Binding Properties of Unlabeled Ligands via a Preincubation Endpoint Binding Approach. </w:t>
      </w:r>
      <w:r w:rsidRPr="00457F67">
        <w:rPr>
          <w:i/>
        </w:rPr>
        <w:t>J Biomol Screen</w:t>
      </w:r>
      <w:r w:rsidRPr="00457F67">
        <w:t xml:space="preserve"> </w:t>
      </w:r>
      <w:r w:rsidRPr="00457F67">
        <w:rPr>
          <w:b/>
        </w:rPr>
        <w:t>21</w:t>
      </w:r>
      <w:r w:rsidRPr="00457F67">
        <w:t>, 729-737, doi:10.1177/1087057116652065 (2016).</w:t>
      </w:r>
    </w:p>
    <w:p w14:paraId="0EDA524D" w14:textId="77777777" w:rsidR="00457F67" w:rsidRPr="00457F67" w:rsidRDefault="00457F67">
      <w:pPr>
        <w:pStyle w:val="Reference"/>
      </w:pPr>
      <w:r w:rsidRPr="00457F67">
        <w:t>55</w:t>
      </w:r>
      <w:r w:rsidRPr="00457F67">
        <w:tab/>
        <w:t>Robers, M. B.</w:t>
      </w:r>
      <w:r w:rsidRPr="00457F67">
        <w:rPr>
          <w:i/>
        </w:rPr>
        <w:t xml:space="preserve"> et al.</w:t>
      </w:r>
      <w:r w:rsidRPr="00457F67">
        <w:t xml:space="preserve"> Quantitative, Real-Time Measurements of Intracellular Target Engagement Using Energy Transfer. </w:t>
      </w:r>
      <w:r w:rsidRPr="00457F67">
        <w:rPr>
          <w:i/>
        </w:rPr>
        <w:t>Methods Mol Biol</w:t>
      </w:r>
      <w:r w:rsidRPr="00457F67">
        <w:t xml:space="preserve"> </w:t>
      </w:r>
      <w:r w:rsidRPr="00457F67">
        <w:rPr>
          <w:b/>
        </w:rPr>
        <w:t>1888</w:t>
      </w:r>
      <w:r w:rsidRPr="00457F67">
        <w:t>, 45-71, doi:10.1007/978-1-4939-8891-4_3 (2019).</w:t>
      </w:r>
    </w:p>
    <w:p w14:paraId="56348C02" w14:textId="77777777" w:rsidR="00457F67" w:rsidRPr="00457F67" w:rsidRDefault="00457F67">
      <w:pPr>
        <w:pStyle w:val="Reference"/>
      </w:pPr>
      <w:r w:rsidRPr="00457F67">
        <w:t>56</w:t>
      </w:r>
      <w:r w:rsidRPr="00457F67">
        <w:tab/>
        <w:t xml:space="preserve">Malany, S., Hernandez, L. M., Smith, W. F., Crowe, P. D. &amp; Hoare, S. R. Analytical method for simultaneously measuring ex vivo drug receptor occupancy and dissociation rate: application to (R)-dimethindene occupancy of central histamine H1 receptors. </w:t>
      </w:r>
      <w:r w:rsidRPr="00457F67">
        <w:rPr>
          <w:i/>
        </w:rPr>
        <w:t>J Recept Signal Transduct Res</w:t>
      </w:r>
      <w:r w:rsidRPr="00457F67">
        <w:t xml:space="preserve"> </w:t>
      </w:r>
      <w:r w:rsidRPr="00457F67">
        <w:rPr>
          <w:b/>
        </w:rPr>
        <w:t>29</w:t>
      </w:r>
      <w:r w:rsidRPr="00457F67">
        <w:t>, 84-93, doi:10.1080/10799890902721339 (2009).</w:t>
      </w:r>
    </w:p>
    <w:p w14:paraId="4CA682E7" w14:textId="77777777" w:rsidR="00457F67" w:rsidRPr="00457F67" w:rsidRDefault="00457F67">
      <w:pPr>
        <w:pStyle w:val="Reference"/>
      </w:pPr>
      <w:r w:rsidRPr="00457F67">
        <w:t>57</w:t>
      </w:r>
      <w:r w:rsidRPr="00457F67">
        <w:tab/>
        <w:t xml:space="preserve">Packeu, A., Wennerberg, M., Balendran, A. &amp; Vauquelin, G. Estimation of the dissociation rate of unlabelled ligand-receptor complexes by a 'two-step' competition binding approach. </w:t>
      </w:r>
      <w:r w:rsidRPr="00457F67">
        <w:rPr>
          <w:i/>
        </w:rPr>
        <w:t>Br J Pharmacol</w:t>
      </w:r>
      <w:r w:rsidRPr="00457F67">
        <w:t xml:space="preserve"> </w:t>
      </w:r>
      <w:r w:rsidRPr="00457F67">
        <w:rPr>
          <w:b/>
        </w:rPr>
        <w:t>161</w:t>
      </w:r>
      <w:r w:rsidRPr="00457F67">
        <w:t>, 1311-1328, doi:10.1111/j.1476-5381.2010.00931.x (2010).</w:t>
      </w:r>
    </w:p>
    <w:p w14:paraId="01B07B79" w14:textId="77777777" w:rsidR="00457F67" w:rsidRPr="00457F67" w:rsidRDefault="00457F67">
      <w:pPr>
        <w:pStyle w:val="Reference"/>
      </w:pPr>
      <w:r w:rsidRPr="00457F67">
        <w:t>58</w:t>
      </w:r>
      <w:r w:rsidRPr="00457F67">
        <w:tab/>
        <w:t xml:space="preserve">Uhlen, S., Schioth, H. B. &amp; Jahnsen, J. A. A new, simple and robust radioligand binding method used to determine kinetic off-rate constants for unlabeled ligands. Application at alpha2A- and alpha2C-adrenoceptors. </w:t>
      </w:r>
      <w:r w:rsidRPr="00457F67">
        <w:rPr>
          <w:i/>
        </w:rPr>
        <w:t>Eur J Pharmacol</w:t>
      </w:r>
      <w:r w:rsidRPr="00457F67">
        <w:t xml:space="preserve"> </w:t>
      </w:r>
      <w:r w:rsidRPr="00457F67">
        <w:rPr>
          <w:b/>
        </w:rPr>
        <w:t>788</w:t>
      </w:r>
      <w:r w:rsidRPr="00457F67">
        <w:t>, 113-121, doi:10.1016/j.ejphar.2016.06.021 (2016).</w:t>
      </w:r>
    </w:p>
    <w:p w14:paraId="38C31466" w14:textId="77777777" w:rsidR="00457F67" w:rsidRPr="00457F67" w:rsidRDefault="00457F67">
      <w:pPr>
        <w:pStyle w:val="Reference"/>
      </w:pPr>
      <w:r w:rsidRPr="00457F67">
        <w:lastRenderedPageBreak/>
        <w:t>59</w:t>
      </w:r>
      <w:r w:rsidRPr="00457F67">
        <w:tab/>
        <w:t xml:space="preserve">Packeu, A., Beghin, T., De Backer, J. P. &amp; Vauquelin, G. Antagonist-D2S-dopamine receptor interactions in intact recombinant Chinese hamster ovary cells [corrected]. </w:t>
      </w:r>
      <w:r w:rsidRPr="00457F67">
        <w:rPr>
          <w:i/>
        </w:rPr>
        <w:t>Fundam Clin Pharmacol</w:t>
      </w:r>
      <w:r w:rsidRPr="00457F67">
        <w:t xml:space="preserve"> </w:t>
      </w:r>
      <w:r w:rsidRPr="00457F67">
        <w:rPr>
          <w:b/>
        </w:rPr>
        <w:t>24</w:t>
      </w:r>
      <w:r w:rsidRPr="00457F67">
        <w:t>, 293-303, doi:10.1111/j.1472-8206.2009.00777.x (2010).</w:t>
      </w:r>
    </w:p>
    <w:p w14:paraId="2359BCC3" w14:textId="77777777" w:rsidR="00457F67" w:rsidRPr="00457F67" w:rsidRDefault="00457F67">
      <w:pPr>
        <w:pStyle w:val="Reference"/>
      </w:pPr>
      <w:r w:rsidRPr="00457F67">
        <w:t>60</w:t>
      </w:r>
      <w:r w:rsidRPr="00457F67">
        <w:tab/>
        <w:t xml:space="preserve">De Lean, A., Stadel, J. M. &amp; Lefkowitz, R. J. A ternary complex model explains the agonist-specific binding properties of the adenylate cyclase-coupled beta-adrenergic receptor. </w:t>
      </w:r>
      <w:r w:rsidRPr="00457F67">
        <w:rPr>
          <w:i/>
        </w:rPr>
        <w:t>J Biol Chem</w:t>
      </w:r>
      <w:r w:rsidRPr="00457F67">
        <w:t xml:space="preserve"> </w:t>
      </w:r>
      <w:r w:rsidRPr="00457F67">
        <w:rPr>
          <w:b/>
        </w:rPr>
        <w:t>255</w:t>
      </w:r>
      <w:r w:rsidRPr="00457F67">
        <w:t>, 7108-7117 (1980).</w:t>
      </w:r>
    </w:p>
    <w:p w14:paraId="60F30CB5" w14:textId="77777777" w:rsidR="00457F67" w:rsidRPr="00457F67" w:rsidRDefault="00457F67">
      <w:pPr>
        <w:pStyle w:val="Reference"/>
      </w:pPr>
      <w:r w:rsidRPr="00457F67">
        <w:t>61</w:t>
      </w:r>
      <w:r w:rsidRPr="00457F67">
        <w:tab/>
        <w:t xml:space="preserve">Kent, R. S., De Lean, A. &amp; Lefkowitz, R. J. A quantitative analysis of beta-adrenergic receptor interactions: resolution of high and low affinity states of the receptor by computer modeling of ligand binding data. </w:t>
      </w:r>
      <w:r w:rsidRPr="00457F67">
        <w:rPr>
          <w:i/>
        </w:rPr>
        <w:t>Mol Pharmacol</w:t>
      </w:r>
      <w:r w:rsidRPr="00457F67">
        <w:t xml:space="preserve"> </w:t>
      </w:r>
      <w:r w:rsidRPr="00457F67">
        <w:rPr>
          <w:b/>
        </w:rPr>
        <w:t>17</w:t>
      </w:r>
      <w:r w:rsidRPr="00457F67">
        <w:t>, 14-23 (1980).</w:t>
      </w:r>
    </w:p>
    <w:p w14:paraId="15B78E29" w14:textId="77777777" w:rsidR="00457F67" w:rsidRPr="00457F67" w:rsidRDefault="00457F67">
      <w:pPr>
        <w:pStyle w:val="Reference"/>
      </w:pPr>
      <w:r w:rsidRPr="00457F67">
        <w:t>62</w:t>
      </w:r>
      <w:r w:rsidRPr="00457F67">
        <w:tab/>
        <w:t>Guo, D.</w:t>
      </w:r>
      <w:r w:rsidRPr="00457F67">
        <w:rPr>
          <w:i/>
        </w:rPr>
        <w:t xml:space="preserve"> et al.</w:t>
      </w:r>
      <w:r w:rsidRPr="00457F67">
        <w:t xml:space="preserve"> A two-state model for the kinetics of competitive radioligand binding. </w:t>
      </w:r>
      <w:r w:rsidRPr="00457F67">
        <w:rPr>
          <w:i/>
        </w:rPr>
        <w:t>Br J Pharmacol</w:t>
      </w:r>
      <w:r w:rsidRPr="00457F67">
        <w:t xml:space="preserve"> </w:t>
      </w:r>
      <w:r w:rsidRPr="00457F67">
        <w:rPr>
          <w:b/>
        </w:rPr>
        <w:t>175</w:t>
      </w:r>
      <w:r w:rsidRPr="00457F67">
        <w:t>, 1719-1730, doi:10.1111/bph.14184 (2018).</w:t>
      </w:r>
    </w:p>
    <w:p w14:paraId="32A5241B" w14:textId="77777777" w:rsidR="00457F67" w:rsidRPr="00457F67" w:rsidRDefault="00457F67">
      <w:pPr>
        <w:pStyle w:val="Reference"/>
      </w:pPr>
      <w:r w:rsidRPr="00457F67">
        <w:t>63</w:t>
      </w:r>
      <w:r w:rsidRPr="00457F67">
        <w:tab/>
        <w:t xml:space="preserve">Hoare, S. R. &amp; Strange, P. G. Regulation of D2 dopamine receptors by amiloride and amiloride analogs. </w:t>
      </w:r>
      <w:r w:rsidRPr="00457F67">
        <w:rPr>
          <w:i/>
        </w:rPr>
        <w:t>Mol Pharmacol</w:t>
      </w:r>
      <w:r w:rsidRPr="00457F67">
        <w:t xml:space="preserve"> </w:t>
      </w:r>
      <w:r w:rsidRPr="00457F67">
        <w:rPr>
          <w:b/>
        </w:rPr>
        <w:t>50</w:t>
      </w:r>
      <w:r w:rsidRPr="00457F67">
        <w:t>, 1295-1308 (1996).</w:t>
      </w:r>
    </w:p>
    <w:p w14:paraId="7AEF04B8" w14:textId="77777777" w:rsidR="00457F67" w:rsidRPr="00457F67" w:rsidRDefault="00457F67">
      <w:pPr>
        <w:pStyle w:val="Reference"/>
      </w:pPr>
      <w:r w:rsidRPr="00457F67">
        <w:t>64</w:t>
      </w:r>
      <w:r w:rsidRPr="00457F67">
        <w:tab/>
        <w:t xml:space="preserve">Tummino, P. J. &amp; Copeland, R. A. Residence time of receptor-ligand complexes and its effect on biological function. </w:t>
      </w:r>
      <w:r w:rsidRPr="00457F67">
        <w:rPr>
          <w:i/>
        </w:rPr>
        <w:t>Biochemistry</w:t>
      </w:r>
      <w:r w:rsidRPr="00457F67">
        <w:t xml:space="preserve"> </w:t>
      </w:r>
      <w:r w:rsidRPr="00457F67">
        <w:rPr>
          <w:b/>
        </w:rPr>
        <w:t>47</w:t>
      </w:r>
      <w:r w:rsidRPr="00457F67">
        <w:t>, 5481-5492, doi:10.1021/bi8002023 (2008).</w:t>
      </w:r>
    </w:p>
    <w:p w14:paraId="4A194A39" w14:textId="77777777" w:rsidR="00457F67" w:rsidRPr="00457F67" w:rsidRDefault="00457F67">
      <w:pPr>
        <w:pStyle w:val="Reference"/>
      </w:pPr>
      <w:r w:rsidRPr="00457F67">
        <w:t>65</w:t>
      </w:r>
      <w:r w:rsidRPr="00457F67">
        <w:tab/>
        <w:t xml:space="preserve">Schreiber, G., Henis, Y. I. &amp; Sokolovsky, M. Analysis of ligand binding to receptors by competition kinetics. Application to muscarinic antagonists in rat brain cortex. </w:t>
      </w:r>
      <w:r w:rsidRPr="00457F67">
        <w:rPr>
          <w:i/>
        </w:rPr>
        <w:t>J Biol Chem</w:t>
      </w:r>
      <w:r w:rsidRPr="00457F67">
        <w:t xml:space="preserve"> </w:t>
      </w:r>
      <w:r w:rsidRPr="00457F67">
        <w:rPr>
          <w:b/>
        </w:rPr>
        <w:t>260</w:t>
      </w:r>
      <w:r w:rsidRPr="00457F67">
        <w:t>, 8789-8794 (1985).</w:t>
      </w:r>
    </w:p>
    <w:p w14:paraId="598530DC" w14:textId="77777777" w:rsidR="00457F67" w:rsidRPr="00457F67" w:rsidRDefault="00457F67">
      <w:pPr>
        <w:pStyle w:val="Reference"/>
      </w:pPr>
      <w:r w:rsidRPr="00457F67">
        <w:t>66</w:t>
      </w:r>
      <w:r w:rsidRPr="00457F67">
        <w:tab/>
        <w:t xml:space="preserve">Schreiber, G., Henis, Y. I. &amp; Sokolovsky, M. Rate constants of agonist binding to muscarinic receptors in rat brain medulla. Evaluation by competition kinetics. </w:t>
      </w:r>
      <w:r w:rsidRPr="00457F67">
        <w:rPr>
          <w:i/>
        </w:rPr>
        <w:t>J Biol Chem</w:t>
      </w:r>
      <w:r w:rsidRPr="00457F67">
        <w:t xml:space="preserve"> </w:t>
      </w:r>
      <w:r w:rsidRPr="00457F67">
        <w:rPr>
          <w:b/>
        </w:rPr>
        <w:t>260</w:t>
      </w:r>
      <w:r w:rsidRPr="00457F67">
        <w:t>, 8795-8802 (1985).</w:t>
      </w:r>
    </w:p>
    <w:p w14:paraId="72227D3E" w14:textId="705269D6" w:rsidR="00457F67" w:rsidRDefault="00457F67">
      <w:pPr>
        <w:pStyle w:val="Reference"/>
      </w:pPr>
      <w:r w:rsidRPr="00457F67">
        <w:t>67</w:t>
      </w:r>
      <w:r w:rsidRPr="00457F67">
        <w:tab/>
        <w:t xml:space="preserve">White, C. &amp; Bridge, L. J. Ligand Binding Dynamics for Pre-dimerised G Protein-Coupled Receptor Homodimers: Linear Models and Analytical Solutions. </w:t>
      </w:r>
      <w:r w:rsidRPr="00457F67">
        <w:rPr>
          <w:i/>
        </w:rPr>
        <w:t>Bull Math Biol</w:t>
      </w:r>
      <w:r w:rsidRPr="00457F67">
        <w:t xml:space="preserve"> </w:t>
      </w:r>
      <w:r w:rsidRPr="00457F67">
        <w:rPr>
          <w:b/>
        </w:rPr>
        <w:t>81</w:t>
      </w:r>
      <w:r w:rsidRPr="00457F67">
        <w:t>, 3542-3574, doi:10.1007/s11538-017-0387-x (2019).</w:t>
      </w:r>
    </w:p>
    <w:p w14:paraId="24B32A95" w14:textId="77777777" w:rsidR="00154769" w:rsidRPr="00457F67" w:rsidRDefault="00154769" w:rsidP="00BE01EC"/>
    <w:p w14:paraId="7985475A" w14:textId="3CEB2137" w:rsidR="00071B00" w:rsidRPr="009256D4" w:rsidRDefault="00022060" w:rsidP="00071B00">
      <w:pPr>
        <w:pStyle w:val="FiguresTablesBoxesSectionHeading"/>
      </w:pPr>
      <w:r>
        <w:fldChar w:fldCharType="end"/>
      </w:r>
      <w:r w:rsidR="00071B00" w:rsidRPr="00071B00">
        <w:t xml:space="preserve"> </w:t>
      </w:r>
      <w:r w:rsidR="00071B00" w:rsidRPr="009256D4">
        <w:t>Figures, Tables and Boxes Appendix (do not delete)</w:t>
      </w:r>
    </w:p>
    <w:p w14:paraId="090F50BE" w14:textId="77777777" w:rsidR="00071B00" w:rsidRPr="009256D4" w:rsidRDefault="00071B00" w:rsidP="00071B00">
      <w:pPr>
        <w:pStyle w:val="Comment"/>
      </w:pPr>
      <w:r w:rsidRPr="009256D4">
        <w:t>Place numbered figures, tables and boxes (referred to from the main text) below.</w:t>
      </w:r>
    </w:p>
    <w:p w14:paraId="2B99450B" w14:textId="77777777" w:rsidR="00071B00" w:rsidRPr="009256D4" w:rsidRDefault="00071B00" w:rsidP="00071B00">
      <w:pPr>
        <w:pStyle w:val="Comment"/>
      </w:pPr>
      <w:r w:rsidRPr="009256D4">
        <w:t>“In-line” figures (e.g. equations) and tables should be placed within the main text in their desired final location.</w:t>
      </w:r>
    </w:p>
    <w:p w14:paraId="31FA7D6E" w14:textId="77777777" w:rsidR="00071B00" w:rsidRPr="009256D4" w:rsidRDefault="00071B00" w:rsidP="00071B00">
      <w:pPr>
        <w:pStyle w:val="Comment"/>
      </w:pPr>
      <w:r w:rsidRPr="009256D4">
        <w:t>Boxes can have a single level of sections; the titles for these sections should be marked up in “Box subhead” style.</w:t>
      </w:r>
    </w:p>
    <w:p w14:paraId="71AAB4E8" w14:textId="77777777" w:rsidR="00071B00" w:rsidRDefault="00071B00" w:rsidP="00071B00"/>
    <w:p w14:paraId="67D7E4DB" w14:textId="78665851" w:rsidR="002F04BA" w:rsidRDefault="00EC3643" w:rsidP="003E064D">
      <w:pPr>
        <w:pStyle w:val="Figuregraphic"/>
      </w:pPr>
      <w:r>
        <w:rPr>
          <w:noProof/>
        </w:rPr>
        <w:lastRenderedPageBreak/>
        <w:drawing>
          <wp:inline distT="0" distB="0" distL="0" distR="0" wp14:anchorId="09572346" wp14:editId="5091C3FB">
            <wp:extent cx="5273040" cy="2385822"/>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1 direct target binding.jpg"/>
                    <pic:cNvPicPr/>
                  </pic:nvPicPr>
                  <pic:blipFill>
                    <a:blip r:embed="rId38">
                      <a:extLst>
                        <a:ext uri="{28A0092B-C50C-407E-A947-70E740481C1C}">
                          <a14:useLocalDpi xmlns:a14="http://schemas.microsoft.com/office/drawing/2010/main" val="0"/>
                        </a:ext>
                      </a:extLst>
                    </a:blip>
                    <a:stretch>
                      <a:fillRect/>
                    </a:stretch>
                  </pic:blipFill>
                  <pic:spPr>
                    <a:xfrm>
                      <a:off x="0" y="0"/>
                      <a:ext cx="5273040" cy="2385822"/>
                    </a:xfrm>
                    <a:prstGeom prst="rect">
                      <a:avLst/>
                    </a:prstGeom>
                  </pic:spPr>
                </pic:pic>
              </a:graphicData>
            </a:graphic>
          </wp:inline>
        </w:drawing>
      </w:r>
    </w:p>
    <w:p w14:paraId="60739234" w14:textId="77777777" w:rsidR="002F04BA" w:rsidRDefault="002F04BA" w:rsidP="002F04BA">
      <w:pPr>
        <w:rPr>
          <w:b/>
          <w:bCs/>
          <w:sz w:val="20"/>
        </w:rPr>
      </w:pPr>
    </w:p>
    <w:p w14:paraId="58D59FB2" w14:textId="2DC26F96" w:rsidR="00084E80" w:rsidRDefault="00900795">
      <w:pPr>
        <w:pStyle w:val="Figurenumberandcaption"/>
      </w:pPr>
      <w:r>
        <w:rPr>
          <w:b/>
          <w:bCs/>
        </w:rPr>
        <w:t>Figure</w:t>
      </w:r>
      <w:r w:rsidR="002F04BA" w:rsidRPr="006B589F">
        <w:rPr>
          <w:b/>
          <w:bCs/>
        </w:rPr>
        <w:t xml:space="preserve"> 1.</w:t>
      </w:r>
      <w:r w:rsidR="002F04BA" w:rsidRPr="006B589F">
        <w:t xml:space="preserve"> </w:t>
      </w:r>
      <w:r w:rsidR="002F04BA" w:rsidRPr="00287F79">
        <w:t>Simple</w:t>
      </w:r>
      <w:r w:rsidR="002F04BA" w:rsidRPr="006B589F">
        <w:t xml:space="preserve"> bimolecular target-ligand binding interaction. Target (in green) interacts reversibly with ligand (orange). The rate of association, forming the </w:t>
      </w:r>
      <w:r w:rsidR="00163C61">
        <w:t>target-ligand</w:t>
      </w:r>
      <w:r w:rsidR="002F04BA" w:rsidRPr="006B589F">
        <w:t xml:space="preserve"> complex, is determined by the association rate constant, </w:t>
      </w:r>
      <w:r w:rsidR="002F04BA" w:rsidRPr="006B589F">
        <w:rPr>
          <w:i/>
          <w:iCs/>
        </w:rPr>
        <w:t>k</w:t>
      </w:r>
      <w:r w:rsidR="002F04BA" w:rsidRPr="006B589F">
        <w:rPr>
          <w:vertAlign w:val="subscript"/>
        </w:rPr>
        <w:t>1</w:t>
      </w:r>
      <w:r w:rsidR="002F04BA" w:rsidRPr="006B589F">
        <w:t xml:space="preserve">. The complex can then dissociate, defined by the dissociation rate constant, </w:t>
      </w:r>
      <w:proofErr w:type="gramStart"/>
      <w:r w:rsidR="002F04BA" w:rsidRPr="006B589F">
        <w:rPr>
          <w:i/>
          <w:iCs/>
        </w:rPr>
        <w:t>k</w:t>
      </w:r>
      <w:r w:rsidR="002F04BA" w:rsidRPr="006B589F">
        <w:rPr>
          <w:vertAlign w:val="subscript"/>
        </w:rPr>
        <w:t>2</w:t>
      </w:r>
      <w:proofErr w:type="gramEnd"/>
      <w:r w:rsidR="002F04BA" w:rsidRPr="006B589F">
        <w:t>.</w:t>
      </w:r>
    </w:p>
    <w:p w14:paraId="31A418CD" w14:textId="3F1BFEF6" w:rsidR="002F04BA" w:rsidRDefault="00095406" w:rsidP="00EC3B55">
      <w:pPr>
        <w:pStyle w:val="Figuregraphic"/>
      </w:pPr>
      <w:r>
        <w:rPr>
          <w:noProof/>
        </w:rPr>
        <w:drawing>
          <wp:inline distT="0" distB="0" distL="0" distR="0" wp14:anchorId="30110A3F" wp14:editId="1B90C4DF">
            <wp:extent cx="5943600" cy="27228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2 association and dissociation.jpg"/>
                    <pic:cNvPicPr/>
                  </pic:nvPicPr>
                  <pic:blipFill>
                    <a:blip r:embed="rId39">
                      <a:extLst>
                        <a:ext uri="{28A0092B-C50C-407E-A947-70E740481C1C}">
                          <a14:useLocalDpi xmlns:a14="http://schemas.microsoft.com/office/drawing/2010/main" val="0"/>
                        </a:ext>
                      </a:extLst>
                    </a:blip>
                    <a:stretch>
                      <a:fillRect/>
                    </a:stretch>
                  </pic:blipFill>
                  <pic:spPr>
                    <a:xfrm>
                      <a:off x="0" y="0"/>
                      <a:ext cx="5943600" cy="2722880"/>
                    </a:xfrm>
                    <a:prstGeom prst="rect">
                      <a:avLst/>
                    </a:prstGeom>
                  </pic:spPr>
                </pic:pic>
              </a:graphicData>
            </a:graphic>
          </wp:inline>
        </w:drawing>
      </w:r>
    </w:p>
    <w:p w14:paraId="4E41E213" w14:textId="09EE69D6" w:rsidR="002F04BA" w:rsidRDefault="00900795" w:rsidP="00EC3B55">
      <w:pPr>
        <w:pStyle w:val="Figurenumberandcaption"/>
      </w:pPr>
      <w:r>
        <w:rPr>
          <w:b/>
          <w:bCs/>
        </w:rPr>
        <w:t>Figure</w:t>
      </w:r>
      <w:r w:rsidR="002F04BA" w:rsidRPr="00D667FD">
        <w:rPr>
          <w:b/>
          <w:bCs/>
        </w:rPr>
        <w:t xml:space="preserve"> 2.</w:t>
      </w:r>
      <w:r w:rsidR="002F04BA" w:rsidRPr="00D667FD">
        <w:t xml:space="preserve"> Time course data for target-ligand association (A) and dissociation (B). Curves are fits to exponential equations (A, Eq. 1; B, Eq. 2).</w:t>
      </w:r>
      <w:r w:rsidR="002F04BA">
        <w:t xml:space="preserve"> D</w:t>
      </w:r>
      <w:r w:rsidR="002F04BA" w:rsidRPr="00F9224E">
        <w:t xml:space="preserve">ata points are the mean </w:t>
      </w:r>
      <w:r w:rsidR="002F04BA" w:rsidRPr="00F9224E">
        <w:sym w:font="Symbol" w:char="F0B1"/>
      </w:r>
      <w:r w:rsidR="002F04BA" w:rsidRPr="00F9224E">
        <w:t xml:space="preserve"> SEM of two technical replicates</w:t>
      </w:r>
      <w:r w:rsidR="002F04BA">
        <w:t>.</w:t>
      </w:r>
    </w:p>
    <w:p w14:paraId="30248A1A" w14:textId="23DDE734" w:rsidR="008C3E3C" w:rsidRPr="00D667FD" w:rsidRDefault="00E00C02" w:rsidP="00EC3B55">
      <w:pPr>
        <w:pStyle w:val="Figuregraphic"/>
      </w:pPr>
      <w:r>
        <w:rPr>
          <w:noProof/>
        </w:rPr>
        <w:lastRenderedPageBreak/>
        <w:drawing>
          <wp:inline distT="0" distB="0" distL="0" distR="0" wp14:anchorId="12FB6FE3" wp14:editId="3263578B">
            <wp:extent cx="5943600" cy="22904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3 k1 measurement.jpg"/>
                    <pic:cNvPicPr/>
                  </pic:nvPicPr>
                  <pic:blipFill>
                    <a:blip r:embed="rId40">
                      <a:extLst>
                        <a:ext uri="{28A0092B-C50C-407E-A947-70E740481C1C}">
                          <a14:useLocalDpi xmlns:a14="http://schemas.microsoft.com/office/drawing/2010/main" val="0"/>
                        </a:ext>
                      </a:extLst>
                    </a:blip>
                    <a:stretch>
                      <a:fillRect/>
                    </a:stretch>
                  </pic:blipFill>
                  <pic:spPr>
                    <a:xfrm>
                      <a:off x="0" y="0"/>
                      <a:ext cx="5943600" cy="2290445"/>
                    </a:xfrm>
                    <a:prstGeom prst="rect">
                      <a:avLst/>
                    </a:prstGeom>
                  </pic:spPr>
                </pic:pic>
              </a:graphicData>
            </a:graphic>
          </wp:inline>
        </w:drawing>
      </w:r>
    </w:p>
    <w:p w14:paraId="7ED725C0" w14:textId="1471C93E" w:rsidR="00830F76" w:rsidRDefault="00830F76" w:rsidP="00830F76"/>
    <w:p w14:paraId="1ED0287E" w14:textId="6038DC13" w:rsidR="00830F76" w:rsidRPr="004479E9" w:rsidRDefault="00900795" w:rsidP="00EC3B55">
      <w:pPr>
        <w:pStyle w:val="Figurenumberandcaption"/>
      </w:pPr>
      <w:r>
        <w:rPr>
          <w:b/>
          <w:bCs/>
        </w:rPr>
        <w:t>Figure</w:t>
      </w:r>
      <w:r w:rsidR="00830F76" w:rsidRPr="004479E9">
        <w:rPr>
          <w:b/>
          <w:bCs/>
        </w:rPr>
        <w:t xml:space="preserve"> 3.</w:t>
      </w:r>
      <w:r w:rsidR="00830F76" w:rsidRPr="004479E9">
        <w:t xml:space="preserve"> Measurement of </w:t>
      </w:r>
      <w:r w:rsidR="00830F76" w:rsidRPr="004479E9">
        <w:rPr>
          <w:i/>
          <w:iCs/>
        </w:rPr>
        <w:t>k</w:t>
      </w:r>
      <w:r w:rsidR="00830F76" w:rsidRPr="004479E9">
        <w:rPr>
          <w:vertAlign w:val="subscript"/>
        </w:rPr>
        <w:t>1</w:t>
      </w:r>
      <w:r w:rsidR="00830F76" w:rsidRPr="004479E9">
        <w:t xml:space="preserve">, the association rate constant, in a direct target-ligand binding assay. </w:t>
      </w:r>
      <w:proofErr w:type="gramStart"/>
      <w:r w:rsidR="00830F76" w:rsidRPr="004479E9">
        <w:rPr>
          <w:i/>
          <w:iCs/>
        </w:rPr>
        <w:t>k</w:t>
      </w:r>
      <w:r w:rsidR="00830F76" w:rsidRPr="004479E9">
        <w:rPr>
          <w:vertAlign w:val="subscript"/>
        </w:rPr>
        <w:t>1</w:t>
      </w:r>
      <w:proofErr w:type="gramEnd"/>
      <w:r w:rsidR="00830F76" w:rsidRPr="004479E9">
        <w:t xml:space="preserve"> is determined in a two-step process. First, as shown in panel A, the time course of formation of the target-ligand complex is measured for multiple concentrations of ligand (see Box 1 for conditions). These data are then fit by nonlinear regression to the association exponential equation (Eq. 1) as detailed in the step-by-step </w:t>
      </w:r>
      <w:r w:rsidR="00DD7AA8">
        <w:t xml:space="preserve">guide </w:t>
      </w:r>
      <w:r w:rsidR="00830F76" w:rsidRPr="004479E9">
        <w:t>“</w:t>
      </w:r>
      <w:hyperlink r:id="rId41" w:history="1">
        <w:r w:rsidR="00830F76" w:rsidRPr="00DD7AA8">
          <w:rPr>
            <w:rStyle w:val="Hyperlink"/>
          </w:rPr>
          <w:t>Assoc</w:t>
        </w:r>
        <w:r w:rsidR="00DD7AA8" w:rsidRPr="00DD7AA8">
          <w:rPr>
            <w:rStyle w:val="Hyperlink"/>
          </w:rPr>
          <w:t>iation data analysis</w:t>
        </w:r>
      </w:hyperlink>
      <w:r w:rsidR="00DD7AA8">
        <w:t>” in supplementary f</w:t>
      </w:r>
      <w:r w:rsidR="00830F76" w:rsidRPr="004479E9">
        <w:t xml:space="preserve">iles. This analysis yields a fitted value of </w:t>
      </w:r>
      <w:proofErr w:type="spellStart"/>
      <w:r w:rsidR="00830F76" w:rsidRPr="004479E9">
        <w:rPr>
          <w:i/>
          <w:iCs/>
        </w:rPr>
        <w:t>k</w:t>
      </w:r>
      <w:r w:rsidR="00830F76" w:rsidRPr="004479E9">
        <w:rPr>
          <w:i/>
          <w:iCs/>
          <w:vertAlign w:val="subscript"/>
        </w:rPr>
        <w:t>obs</w:t>
      </w:r>
      <w:proofErr w:type="spellEnd"/>
      <w:r w:rsidR="00830F76" w:rsidRPr="004479E9">
        <w:t xml:space="preserve">, the observed association rate, for each concentration of ligand. These </w:t>
      </w:r>
      <w:proofErr w:type="spellStart"/>
      <w:proofErr w:type="gramStart"/>
      <w:r w:rsidR="00830F76" w:rsidRPr="004479E9">
        <w:rPr>
          <w:i/>
          <w:iCs/>
        </w:rPr>
        <w:t>k</w:t>
      </w:r>
      <w:r w:rsidR="00830F76" w:rsidRPr="004479E9">
        <w:rPr>
          <w:i/>
          <w:iCs/>
          <w:vertAlign w:val="subscript"/>
        </w:rPr>
        <w:t>obs</w:t>
      </w:r>
      <w:proofErr w:type="spellEnd"/>
      <w:proofErr w:type="gramEnd"/>
      <w:r w:rsidR="00830F76" w:rsidRPr="004479E9">
        <w:t xml:space="preserve"> values are shown on the legend in panel A. In the second part of the analysis, shown in panel B, the </w:t>
      </w:r>
      <w:proofErr w:type="spellStart"/>
      <w:proofErr w:type="gramStart"/>
      <w:r w:rsidR="00830F76" w:rsidRPr="004479E9">
        <w:rPr>
          <w:i/>
          <w:iCs/>
        </w:rPr>
        <w:t>k</w:t>
      </w:r>
      <w:r w:rsidR="00830F76" w:rsidRPr="004479E9">
        <w:rPr>
          <w:i/>
          <w:iCs/>
          <w:vertAlign w:val="subscript"/>
        </w:rPr>
        <w:t>obs</w:t>
      </w:r>
      <w:proofErr w:type="spellEnd"/>
      <w:proofErr w:type="gramEnd"/>
      <w:r w:rsidR="00830F76" w:rsidRPr="004479E9">
        <w:t xml:space="preserve"> values are plotted against the ligand concentration. These data are then fit to </w:t>
      </w:r>
      <w:r w:rsidR="00163C61" w:rsidRPr="00163C61">
        <w:t>the straight line</w:t>
      </w:r>
      <w:r w:rsidR="00830F76" w:rsidRPr="004479E9">
        <w:t xml:space="preserve"> equation. The gradient of this line is </w:t>
      </w:r>
      <w:r w:rsidR="00830F76" w:rsidRPr="004479E9">
        <w:rPr>
          <w:i/>
          <w:iCs/>
        </w:rPr>
        <w:t>k</w:t>
      </w:r>
      <w:r w:rsidR="00830F76" w:rsidRPr="004479E9">
        <w:rPr>
          <w:vertAlign w:val="subscript"/>
        </w:rPr>
        <w:t>1</w:t>
      </w:r>
      <w:r w:rsidR="00830F76" w:rsidRPr="004479E9">
        <w:t xml:space="preserve"> (1.0 </w:t>
      </w:r>
      <w:r w:rsidR="00830F76" w:rsidRPr="004479E9">
        <w:sym w:font="Symbol" w:char="F0B4"/>
      </w:r>
      <w:r w:rsidR="00830F76" w:rsidRPr="004479E9">
        <w:t xml:space="preserve"> 10</w:t>
      </w:r>
      <w:r w:rsidR="00830F76" w:rsidRPr="004479E9">
        <w:rPr>
          <w:vertAlign w:val="superscript"/>
        </w:rPr>
        <w:t>7</w:t>
      </w:r>
      <w:r w:rsidR="00830F76" w:rsidRPr="004479E9">
        <w:t xml:space="preserve"> M</w:t>
      </w:r>
      <w:r w:rsidR="00830F76" w:rsidRPr="004479E9">
        <w:rPr>
          <w:vertAlign w:val="superscript"/>
        </w:rPr>
        <w:t>-1</w:t>
      </w:r>
      <w:r w:rsidR="00830F76" w:rsidRPr="004479E9">
        <w:t>min</w:t>
      </w:r>
      <w:r w:rsidR="00830F76" w:rsidRPr="004479E9">
        <w:rPr>
          <w:vertAlign w:val="superscript"/>
        </w:rPr>
        <w:t>-1</w:t>
      </w:r>
      <w:r w:rsidR="00830F76" w:rsidRPr="004479E9">
        <w:t>).</w:t>
      </w:r>
      <w:r w:rsidR="00830F76">
        <w:t xml:space="preserve"> D</w:t>
      </w:r>
      <w:r w:rsidR="00830F76" w:rsidRPr="00F9224E">
        <w:t xml:space="preserve">ata points </w:t>
      </w:r>
      <w:r w:rsidR="00830F76">
        <w:t xml:space="preserve">in Panel A </w:t>
      </w:r>
      <w:r w:rsidR="00830F76" w:rsidRPr="00F9224E">
        <w:t xml:space="preserve">are the mean </w:t>
      </w:r>
      <w:r w:rsidR="00830F76" w:rsidRPr="00F9224E">
        <w:sym w:font="Symbol" w:char="F0B1"/>
      </w:r>
      <w:r w:rsidR="00830F76" w:rsidRPr="00F9224E">
        <w:t xml:space="preserve"> SEM of two technical replicates</w:t>
      </w:r>
      <w:r w:rsidR="00830F76">
        <w:t>.</w:t>
      </w:r>
    </w:p>
    <w:p w14:paraId="7F582D50" w14:textId="77777777" w:rsidR="002F04BA" w:rsidRDefault="002F04BA" w:rsidP="002F04BA"/>
    <w:p w14:paraId="2D977234" w14:textId="2FE5933C" w:rsidR="004B7C70" w:rsidRDefault="0077241B" w:rsidP="00EC3B55">
      <w:pPr>
        <w:pStyle w:val="Figuregraphic"/>
      </w:pPr>
      <w:r>
        <w:rPr>
          <w:noProof/>
        </w:rPr>
        <w:drawing>
          <wp:inline distT="0" distB="0" distL="0" distR="0" wp14:anchorId="154E258A" wp14:editId="41D4F1FA">
            <wp:extent cx="5943600" cy="22358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4 competitive binding.jpg"/>
                    <pic:cNvPicPr/>
                  </pic:nvPicPr>
                  <pic:blipFill>
                    <a:blip r:embed="rId42">
                      <a:extLst>
                        <a:ext uri="{28A0092B-C50C-407E-A947-70E740481C1C}">
                          <a14:useLocalDpi xmlns:a14="http://schemas.microsoft.com/office/drawing/2010/main" val="0"/>
                        </a:ext>
                      </a:extLst>
                    </a:blip>
                    <a:stretch>
                      <a:fillRect/>
                    </a:stretch>
                  </pic:blipFill>
                  <pic:spPr>
                    <a:xfrm>
                      <a:off x="0" y="0"/>
                      <a:ext cx="5943600" cy="2235835"/>
                    </a:xfrm>
                    <a:prstGeom prst="rect">
                      <a:avLst/>
                    </a:prstGeom>
                  </pic:spPr>
                </pic:pic>
              </a:graphicData>
            </a:graphic>
          </wp:inline>
        </w:drawing>
      </w:r>
    </w:p>
    <w:p w14:paraId="2605007F" w14:textId="77777777" w:rsidR="004B7C70" w:rsidRDefault="004B7C70" w:rsidP="004B7C70"/>
    <w:p w14:paraId="28F0C62E" w14:textId="77777777" w:rsidR="004B7C70" w:rsidRDefault="004B7C70" w:rsidP="004B7C70"/>
    <w:p w14:paraId="37EF9579" w14:textId="21DAF59C" w:rsidR="004B7C70" w:rsidRDefault="00900795" w:rsidP="00EC3B55">
      <w:pPr>
        <w:pStyle w:val="Figurenumberandcaption"/>
      </w:pPr>
      <w:r>
        <w:rPr>
          <w:b/>
          <w:bCs/>
        </w:rPr>
        <w:t>Figure</w:t>
      </w:r>
      <w:r w:rsidR="004B7C70" w:rsidRPr="003D1345">
        <w:rPr>
          <w:b/>
          <w:bCs/>
        </w:rPr>
        <w:t xml:space="preserve"> 4.</w:t>
      </w:r>
      <w:r w:rsidR="004B7C70" w:rsidRPr="003D1345">
        <w:t xml:space="preserve"> Competition kinetics for two ligands binding to the same binding site on the target. T</w:t>
      </w:r>
      <w:r w:rsidR="004B7C70">
        <w:t>he t</w:t>
      </w:r>
      <w:r w:rsidR="004B7C70" w:rsidRPr="003D1345">
        <w:t xml:space="preserve">arget (in green) interacts reversibly with two ligands – a labeled tracer ligand in red and the test compound, </w:t>
      </w:r>
      <w:r w:rsidR="004B7C70" w:rsidRPr="003D1345">
        <w:lastRenderedPageBreak/>
        <w:t xml:space="preserve">which is unlabeled, in orange. </w:t>
      </w:r>
      <w:proofErr w:type="gramStart"/>
      <w:r w:rsidR="004B7C70" w:rsidRPr="003D1345">
        <w:rPr>
          <w:i/>
          <w:iCs/>
        </w:rPr>
        <w:t>k</w:t>
      </w:r>
      <w:r w:rsidR="004B7C70" w:rsidRPr="003D1345">
        <w:rPr>
          <w:vertAlign w:val="subscript"/>
        </w:rPr>
        <w:t>1</w:t>
      </w:r>
      <w:proofErr w:type="gramEnd"/>
      <w:r w:rsidR="004B7C70" w:rsidRPr="003D1345">
        <w:t xml:space="preserve"> and </w:t>
      </w:r>
      <w:r w:rsidR="004B7C70" w:rsidRPr="003D1345">
        <w:rPr>
          <w:i/>
          <w:iCs/>
        </w:rPr>
        <w:t>k</w:t>
      </w:r>
      <w:r w:rsidR="004B7C70" w:rsidRPr="003D1345">
        <w:rPr>
          <w:vertAlign w:val="subscript"/>
        </w:rPr>
        <w:t>2</w:t>
      </w:r>
      <w:r w:rsidR="004B7C70" w:rsidRPr="003D1345">
        <w:t xml:space="preserve"> are the association and dissociation rate constants of the tracer, respectively, and </w:t>
      </w:r>
      <w:r w:rsidR="004B7C70" w:rsidRPr="003D1345">
        <w:rPr>
          <w:i/>
          <w:iCs/>
        </w:rPr>
        <w:t>k</w:t>
      </w:r>
      <w:r w:rsidR="004B7C70" w:rsidRPr="003D1345">
        <w:rPr>
          <w:vertAlign w:val="subscript"/>
        </w:rPr>
        <w:t>3</w:t>
      </w:r>
      <w:r w:rsidR="004B7C70" w:rsidRPr="003D1345">
        <w:t xml:space="preserve"> and </w:t>
      </w:r>
      <w:r w:rsidR="004B7C70" w:rsidRPr="003D1345">
        <w:rPr>
          <w:i/>
          <w:iCs/>
        </w:rPr>
        <w:t>k</w:t>
      </w:r>
      <w:r w:rsidR="004B7C70" w:rsidRPr="003D1345">
        <w:rPr>
          <w:vertAlign w:val="subscript"/>
        </w:rPr>
        <w:t>4</w:t>
      </w:r>
      <w:r w:rsidR="004B7C70" w:rsidRPr="003D1345">
        <w:t xml:space="preserve"> are the corresponding parameters for the test compound. </w:t>
      </w:r>
      <w:r w:rsidR="004B7C70" w:rsidRPr="003D1345">
        <w:rPr>
          <w:i/>
          <w:iCs/>
        </w:rPr>
        <w:t>k</w:t>
      </w:r>
      <w:r w:rsidR="004B7C70" w:rsidRPr="003D1345">
        <w:rPr>
          <w:vertAlign w:val="subscript"/>
        </w:rPr>
        <w:t>3</w:t>
      </w:r>
      <w:r w:rsidR="004B7C70" w:rsidRPr="003D1345">
        <w:t xml:space="preserve"> and </w:t>
      </w:r>
      <w:r w:rsidR="004B7C70" w:rsidRPr="003D1345">
        <w:rPr>
          <w:i/>
          <w:iCs/>
        </w:rPr>
        <w:t>k</w:t>
      </w:r>
      <w:r w:rsidR="004B7C70" w:rsidRPr="003D1345">
        <w:rPr>
          <w:vertAlign w:val="subscript"/>
        </w:rPr>
        <w:t>4</w:t>
      </w:r>
      <w:r w:rsidR="004B7C70" w:rsidRPr="003D1345">
        <w:t xml:space="preserve"> can be determined from a kinetic competition binding assay measuring inhibition of tracer binding by test compound at various time points (Figs. 5 and 6).</w:t>
      </w:r>
    </w:p>
    <w:p w14:paraId="6C41FCED" w14:textId="6F350ED1" w:rsidR="008C3E3C" w:rsidRPr="003D1345" w:rsidRDefault="008C3E3C" w:rsidP="00EC3B55">
      <w:pPr>
        <w:pStyle w:val="Figuregraphic"/>
      </w:pPr>
    </w:p>
    <w:p w14:paraId="5C0B0B40" w14:textId="59314F5A" w:rsidR="004B7C70" w:rsidRDefault="00705089" w:rsidP="00C640C1">
      <w:pPr>
        <w:pStyle w:val="Figuregraphic"/>
      </w:pPr>
      <w:r w:rsidRPr="00705089">
        <w:rPr>
          <w:noProof/>
        </w:rPr>
        <w:drawing>
          <wp:inline distT="0" distB="0" distL="0" distR="0" wp14:anchorId="5D614A20" wp14:editId="7B782725">
            <wp:extent cx="5943600" cy="2196548"/>
            <wp:effectExtent l="0" t="0" r="0" b="0"/>
            <wp:docPr id="10" name="Picture 10" descr="C:\Users\grossmanac\Desktop\Analyzing Kinetic Binding Data\KBD graphics\JPGs UPDATE\Fig 5 raw data competition kinet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ossmanac\Desktop\Analyzing Kinetic Binding Data\KBD graphics\JPGs UPDATE\Fig 5 raw data competition kinetics.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2196548"/>
                    </a:xfrm>
                    <a:prstGeom prst="rect">
                      <a:avLst/>
                    </a:prstGeom>
                    <a:noFill/>
                    <a:ln>
                      <a:noFill/>
                    </a:ln>
                  </pic:spPr>
                </pic:pic>
              </a:graphicData>
            </a:graphic>
          </wp:inline>
        </w:drawing>
      </w:r>
    </w:p>
    <w:p w14:paraId="2EBB7EB4" w14:textId="77777777" w:rsidR="004B7C70" w:rsidRDefault="004B7C70" w:rsidP="004B7C70"/>
    <w:p w14:paraId="54A3DE64" w14:textId="5A6F7346" w:rsidR="004B7C70" w:rsidRDefault="00900795" w:rsidP="00EC3B55">
      <w:pPr>
        <w:pStyle w:val="Figurenumberandcaption"/>
      </w:pPr>
      <w:r>
        <w:rPr>
          <w:b/>
          <w:bCs/>
        </w:rPr>
        <w:t>Figure</w:t>
      </w:r>
      <w:r w:rsidR="004B7C70" w:rsidRPr="00F9224E">
        <w:rPr>
          <w:b/>
          <w:bCs/>
        </w:rPr>
        <w:t xml:space="preserve"> 5.</w:t>
      </w:r>
      <w:r w:rsidR="004B7C70" w:rsidRPr="00F9224E">
        <w:t xml:space="preserve"> Raw data for competition kinetics assay. The y axis is binding of the labeled tracer ligand. Five conditions are measured, as shown in the </w:t>
      </w:r>
      <w:r w:rsidR="004B7C70">
        <w:t>left-hand</w:t>
      </w:r>
      <w:r w:rsidR="004B7C70" w:rsidRPr="00F9224E">
        <w:t xml:space="preserve"> graph. This graph shows total tracer binding data (total binding). The first step in the analysis is transformation to specific binding (i.e. target-specific tracer binding) – this is done by subtracting the nonspecific binding value at each time point. This yields the specific binding data in the </w:t>
      </w:r>
      <w:r w:rsidR="004B7C70">
        <w:t>right-hand</w:t>
      </w:r>
      <w:r w:rsidR="004B7C70" w:rsidRPr="00F9224E">
        <w:t xml:space="preserve"> graph. In this example, the average of the technical replicates for nonspecific binding was used</w:t>
      </w:r>
      <w:r w:rsidR="004B7C70">
        <w:t xml:space="preserve"> and</w:t>
      </w:r>
      <w:r w:rsidR="004B7C70" w:rsidRPr="00F9224E">
        <w:t xml:space="preserve"> </w:t>
      </w:r>
      <w:r w:rsidR="004B7C70">
        <w:t>d</w:t>
      </w:r>
      <w:r w:rsidR="004B7C70" w:rsidRPr="00F9224E">
        <w:t xml:space="preserve">ata points are the mean </w:t>
      </w:r>
      <w:r w:rsidR="004B7C70" w:rsidRPr="00F9224E">
        <w:sym w:font="Symbol" w:char="F0B1"/>
      </w:r>
      <w:r w:rsidR="004B7C70" w:rsidRPr="00F9224E">
        <w:t xml:space="preserve"> SEM of two technical replicates.</w:t>
      </w:r>
    </w:p>
    <w:p w14:paraId="7C35C95D" w14:textId="77777777" w:rsidR="00EC3B55" w:rsidRDefault="00EC3B55" w:rsidP="004B7C70">
      <w:pPr>
        <w:rPr>
          <w:sz w:val="20"/>
        </w:rPr>
      </w:pPr>
    </w:p>
    <w:p w14:paraId="51780DFF" w14:textId="7967313F" w:rsidR="00EC3B55" w:rsidRDefault="004918E0" w:rsidP="00C640C1">
      <w:pPr>
        <w:pStyle w:val="Figuregraphic"/>
      </w:pPr>
      <w:r>
        <w:rPr>
          <w:noProof/>
        </w:rPr>
        <w:drawing>
          <wp:inline distT="0" distB="0" distL="0" distR="0" wp14:anchorId="06D93E78" wp14:editId="025FFB11">
            <wp:extent cx="5943600" cy="25393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6 competition kinetics curve fits.jpg"/>
                    <pic:cNvPicPr/>
                  </pic:nvPicPr>
                  <pic:blipFill>
                    <a:blip r:embed="rId44">
                      <a:extLst>
                        <a:ext uri="{28A0092B-C50C-407E-A947-70E740481C1C}">
                          <a14:useLocalDpi xmlns:a14="http://schemas.microsoft.com/office/drawing/2010/main" val="0"/>
                        </a:ext>
                      </a:extLst>
                    </a:blip>
                    <a:stretch>
                      <a:fillRect/>
                    </a:stretch>
                  </pic:blipFill>
                  <pic:spPr>
                    <a:xfrm>
                      <a:off x="0" y="0"/>
                      <a:ext cx="5943600" cy="2539365"/>
                    </a:xfrm>
                    <a:prstGeom prst="rect">
                      <a:avLst/>
                    </a:prstGeom>
                  </pic:spPr>
                </pic:pic>
              </a:graphicData>
            </a:graphic>
          </wp:inline>
        </w:drawing>
      </w:r>
    </w:p>
    <w:p w14:paraId="77D33218" w14:textId="77777777" w:rsidR="00EC3B55" w:rsidRDefault="00EC3B55" w:rsidP="004B7C70">
      <w:pPr>
        <w:rPr>
          <w:sz w:val="20"/>
        </w:rPr>
      </w:pPr>
    </w:p>
    <w:p w14:paraId="5957644E" w14:textId="61865266" w:rsidR="004B7C70" w:rsidRDefault="004B7C70" w:rsidP="00EC3B55">
      <w:pPr>
        <w:pStyle w:val="Figuregraphic"/>
      </w:pPr>
    </w:p>
    <w:p w14:paraId="19C388AD" w14:textId="77777777" w:rsidR="004B7C70" w:rsidRDefault="004B7C70" w:rsidP="004B7C70">
      <w:pPr>
        <w:rPr>
          <w:b/>
          <w:bCs/>
          <w:sz w:val="20"/>
        </w:rPr>
      </w:pPr>
    </w:p>
    <w:p w14:paraId="7D5F1056" w14:textId="52B87FBA" w:rsidR="004B7C70" w:rsidRPr="00342118" w:rsidRDefault="00900795" w:rsidP="00EC3B55">
      <w:pPr>
        <w:pStyle w:val="Figurenumberandcaption"/>
      </w:pPr>
      <w:r>
        <w:rPr>
          <w:b/>
          <w:bCs/>
        </w:rPr>
        <w:t>Figure</w:t>
      </w:r>
      <w:r w:rsidR="004B7C70" w:rsidRPr="00342118">
        <w:rPr>
          <w:b/>
          <w:bCs/>
        </w:rPr>
        <w:t xml:space="preserve"> 6.</w:t>
      </w:r>
      <w:r w:rsidR="004B7C70" w:rsidRPr="00342118">
        <w:t xml:space="preserve"> Competition kinetics data analysis: curve fits and results table. The graph shows specific binding of the tracer over time, in the presence of three concentrations of the unlabeled test compound, and in the absence of test compound (“0”). The data are fit to the competition kinetics equation using Prism, as detailed in the</w:t>
      </w:r>
      <w:r w:rsidR="00DD7AA8">
        <w:t xml:space="preserve"> supplementary f</w:t>
      </w:r>
      <w:r w:rsidR="00DD7AA8" w:rsidRPr="00342118">
        <w:t>ile</w:t>
      </w:r>
      <w:r w:rsidR="004B7C70" w:rsidRPr="00342118">
        <w:t xml:space="preserve"> “</w:t>
      </w:r>
      <w:hyperlink r:id="rId45" w:history="1">
        <w:r w:rsidR="004B7C70" w:rsidRPr="00DD7AA8">
          <w:rPr>
            <w:rStyle w:val="Hyperlink"/>
          </w:rPr>
          <w:t>Competition kinetics analysis</w:t>
        </w:r>
      </w:hyperlink>
      <w:r w:rsidR="004B7C70" w:rsidRPr="00342118">
        <w:t>”</w:t>
      </w:r>
      <w:r w:rsidR="004B7C70">
        <w:t>.</w:t>
      </w:r>
      <w:r w:rsidR="004B7C70" w:rsidRPr="00342118">
        <w:t xml:space="preserve"> The table shows the results of the analysis – the fitted parameter values </w:t>
      </w:r>
      <w:r w:rsidR="004B7C70" w:rsidRPr="00342118">
        <w:rPr>
          <w:i/>
          <w:iCs/>
        </w:rPr>
        <w:t>k</w:t>
      </w:r>
      <w:r w:rsidR="004B7C70" w:rsidRPr="00342118">
        <w:rPr>
          <w:vertAlign w:val="subscript"/>
        </w:rPr>
        <w:t>3</w:t>
      </w:r>
      <w:r w:rsidR="004B7C70" w:rsidRPr="00342118">
        <w:t xml:space="preserve">, </w:t>
      </w:r>
      <w:r w:rsidR="004B7C70" w:rsidRPr="00342118">
        <w:rPr>
          <w:i/>
          <w:iCs/>
        </w:rPr>
        <w:t>k</w:t>
      </w:r>
      <w:r w:rsidR="004B7C70" w:rsidRPr="00342118">
        <w:rPr>
          <w:vertAlign w:val="subscript"/>
        </w:rPr>
        <w:t>4</w:t>
      </w:r>
      <w:r w:rsidR="004B7C70" w:rsidRPr="00342118">
        <w:t xml:space="preserve"> and </w:t>
      </w:r>
      <w:proofErr w:type="spellStart"/>
      <w:r w:rsidR="004B7C70" w:rsidRPr="00342118">
        <w:t>B</w:t>
      </w:r>
      <w:r w:rsidR="004B7C70" w:rsidRPr="00342118">
        <w:rPr>
          <w:vertAlign w:val="subscript"/>
        </w:rPr>
        <w:t>max</w:t>
      </w:r>
      <w:proofErr w:type="spellEnd"/>
      <w:r w:rsidR="004B7C70" w:rsidRPr="00342118">
        <w:t xml:space="preserve">, and the goodness of fit parameter R squared (the correlation coefficient). Note the analysis globally fits all three concentration simultaneously, giving global fitted values of the parameters (red box). The fitted value of </w:t>
      </w:r>
      <w:r w:rsidR="004B7C70" w:rsidRPr="00342118">
        <w:rPr>
          <w:i/>
          <w:iCs/>
        </w:rPr>
        <w:t>k</w:t>
      </w:r>
      <w:r w:rsidR="004B7C70" w:rsidRPr="00342118">
        <w:rPr>
          <w:vertAlign w:val="subscript"/>
        </w:rPr>
        <w:t>3</w:t>
      </w:r>
      <w:r w:rsidR="004B7C70" w:rsidRPr="00342118">
        <w:t xml:space="preserve"> is 1.9 </w:t>
      </w:r>
      <w:r w:rsidR="004B7C70" w:rsidRPr="00342118">
        <w:sym w:font="Symbol" w:char="F0B4"/>
      </w:r>
      <w:r w:rsidR="004B7C70" w:rsidRPr="00342118">
        <w:t xml:space="preserve"> 10</w:t>
      </w:r>
      <w:r w:rsidR="004B7C70" w:rsidRPr="00342118">
        <w:rPr>
          <w:vertAlign w:val="superscript"/>
        </w:rPr>
        <w:t>7</w:t>
      </w:r>
      <w:r w:rsidR="004B7C70" w:rsidRPr="00342118">
        <w:t xml:space="preserve"> M</w:t>
      </w:r>
      <w:r w:rsidR="004B7C70" w:rsidRPr="00342118">
        <w:rPr>
          <w:vertAlign w:val="superscript"/>
        </w:rPr>
        <w:t>-1</w:t>
      </w:r>
      <w:r w:rsidR="004B7C70" w:rsidRPr="00342118">
        <w:t>min</w:t>
      </w:r>
      <w:r w:rsidR="004B7C70" w:rsidRPr="00342118">
        <w:rPr>
          <w:vertAlign w:val="superscript"/>
        </w:rPr>
        <w:t>-1</w:t>
      </w:r>
      <w:r w:rsidR="004B7C70" w:rsidRPr="00342118">
        <w:t xml:space="preserve"> and of </w:t>
      </w:r>
      <w:r w:rsidR="004B7C70" w:rsidRPr="00342118">
        <w:rPr>
          <w:i/>
          <w:iCs/>
        </w:rPr>
        <w:t>k</w:t>
      </w:r>
      <w:r w:rsidR="004B7C70" w:rsidRPr="00342118">
        <w:rPr>
          <w:vertAlign w:val="subscript"/>
        </w:rPr>
        <w:t>4</w:t>
      </w:r>
      <w:r w:rsidR="004B7C70" w:rsidRPr="00342118">
        <w:t xml:space="preserve"> is 0.017 min</w:t>
      </w:r>
      <w:r w:rsidR="004B7C70" w:rsidRPr="00342118">
        <w:rPr>
          <w:vertAlign w:val="superscript"/>
        </w:rPr>
        <w:t>-1</w:t>
      </w:r>
      <w:r w:rsidR="004B7C70" w:rsidRPr="00342118">
        <w:t>.</w:t>
      </w:r>
    </w:p>
    <w:p w14:paraId="08AFDA6F" w14:textId="77777777" w:rsidR="004B7C70" w:rsidRDefault="004B7C70" w:rsidP="004B7C70"/>
    <w:p w14:paraId="28DAA2CA" w14:textId="77777777" w:rsidR="004B7C70" w:rsidRDefault="004B7C70" w:rsidP="004B7C70"/>
    <w:p w14:paraId="66A3EDD5" w14:textId="77777777" w:rsidR="004B7C70" w:rsidRDefault="004B7C70" w:rsidP="004B7C70"/>
    <w:p w14:paraId="35B71A8A" w14:textId="77777777" w:rsidR="00EC3B55" w:rsidRDefault="00EC3B55" w:rsidP="004B7C70">
      <w:pPr>
        <w:rPr>
          <w:noProof/>
        </w:rPr>
      </w:pPr>
    </w:p>
    <w:p w14:paraId="4C81E584" w14:textId="77777777" w:rsidR="00EC3B55" w:rsidRDefault="00EC3B55" w:rsidP="004B7C70">
      <w:pPr>
        <w:rPr>
          <w:noProof/>
        </w:rPr>
      </w:pPr>
    </w:p>
    <w:p w14:paraId="2E4EDA70" w14:textId="77777777" w:rsidR="00EC3B55" w:rsidRDefault="00EC3B55" w:rsidP="004B7C70">
      <w:pPr>
        <w:rPr>
          <w:noProof/>
        </w:rPr>
      </w:pPr>
    </w:p>
    <w:p w14:paraId="221EBA3B" w14:textId="77777777" w:rsidR="00EC3B55" w:rsidRDefault="00EC3B55" w:rsidP="004B7C70">
      <w:pPr>
        <w:rPr>
          <w:noProof/>
        </w:rPr>
      </w:pPr>
    </w:p>
    <w:p w14:paraId="0FDB1E1D" w14:textId="77777777" w:rsidR="00EC3B55" w:rsidRDefault="00EC3B55" w:rsidP="004B7C70">
      <w:pPr>
        <w:rPr>
          <w:noProof/>
        </w:rPr>
      </w:pPr>
    </w:p>
    <w:p w14:paraId="1073E312" w14:textId="56D7A044" w:rsidR="00EC3B55" w:rsidRDefault="004918E0" w:rsidP="00BE01EC">
      <w:pPr>
        <w:pStyle w:val="Figuregraphic"/>
        <w:rPr>
          <w:noProof/>
        </w:rPr>
      </w:pPr>
      <w:r>
        <w:rPr>
          <w:noProof/>
        </w:rPr>
        <w:lastRenderedPageBreak/>
        <w:drawing>
          <wp:inline distT="0" distB="0" distL="0" distR="0" wp14:anchorId="292C3735" wp14:editId="018F248B">
            <wp:extent cx="5943600" cy="64922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7 competition kinetics curve shapes.jpg"/>
                    <pic:cNvPicPr/>
                  </pic:nvPicPr>
                  <pic:blipFill>
                    <a:blip r:embed="rId46">
                      <a:extLst>
                        <a:ext uri="{28A0092B-C50C-407E-A947-70E740481C1C}">
                          <a14:useLocalDpi xmlns:a14="http://schemas.microsoft.com/office/drawing/2010/main" val="0"/>
                        </a:ext>
                      </a:extLst>
                    </a:blip>
                    <a:stretch>
                      <a:fillRect/>
                    </a:stretch>
                  </pic:blipFill>
                  <pic:spPr>
                    <a:xfrm>
                      <a:off x="0" y="0"/>
                      <a:ext cx="5943600" cy="6492240"/>
                    </a:xfrm>
                    <a:prstGeom prst="rect">
                      <a:avLst/>
                    </a:prstGeom>
                  </pic:spPr>
                </pic:pic>
              </a:graphicData>
            </a:graphic>
          </wp:inline>
        </w:drawing>
      </w:r>
    </w:p>
    <w:p w14:paraId="3E9F9756" w14:textId="0680E181" w:rsidR="004B7C70" w:rsidRDefault="004B7C70" w:rsidP="004B7C70"/>
    <w:p w14:paraId="0DD0C549" w14:textId="6FF53F3C" w:rsidR="004B7C70" w:rsidRDefault="00900795" w:rsidP="00BE01EC">
      <w:pPr>
        <w:pStyle w:val="Figurenumberandcaption"/>
      </w:pPr>
      <w:r>
        <w:rPr>
          <w:b/>
          <w:bCs/>
        </w:rPr>
        <w:t>Figure</w:t>
      </w:r>
      <w:r w:rsidR="004B7C70" w:rsidRPr="003D232D">
        <w:rPr>
          <w:b/>
          <w:bCs/>
        </w:rPr>
        <w:t xml:space="preserve"> 7.</w:t>
      </w:r>
      <w:r w:rsidR="004B7C70" w:rsidRPr="003D232D">
        <w:t xml:space="preserve"> Curve shapes in competition kinetics assays. The curve shape is dependent on the RT of the test compound relative to the RT of the tracer. The tracer RT in this example is 67 min. When the compound RT is longer than the tracer RT, the overshoot phenomenon is evident – the curve peaks then declines to a plateau (300 min (A) and 100 min (B)). The longer the RT, the greater the overshoot (compare A with B). When the compound RT is slightly shorter than the tracer RT, a biphasic curve is evident (C, 30 min), where there is an initial rapid rise of tracer binding followed by a slower approach to </w:t>
      </w:r>
      <w:r w:rsidR="004B7C70" w:rsidRPr="003D232D">
        <w:lastRenderedPageBreak/>
        <w:t xml:space="preserve">the plateau. When the compound RT is short relative to the tracer, the curve </w:t>
      </w:r>
      <w:r w:rsidR="004B7C70">
        <w:t>appears monophasic</w:t>
      </w:r>
      <w:r w:rsidR="004B7C70" w:rsidRPr="003D232D">
        <w:t xml:space="preserve"> (10 and 3 min, D and E).</w:t>
      </w:r>
      <w:r w:rsidR="004B7C70">
        <w:t xml:space="preserve"> D</w:t>
      </w:r>
      <w:r w:rsidR="004B7C70" w:rsidRPr="00F9224E">
        <w:t xml:space="preserve">ata points are the mean </w:t>
      </w:r>
      <w:r w:rsidR="004B7C70" w:rsidRPr="00F9224E">
        <w:sym w:font="Symbol" w:char="F0B1"/>
      </w:r>
      <w:r w:rsidR="004B7C70" w:rsidRPr="00F9224E">
        <w:t xml:space="preserve"> SEM of two technical replicates</w:t>
      </w:r>
      <w:r w:rsidR="004B7C70">
        <w:t>.</w:t>
      </w:r>
    </w:p>
    <w:p w14:paraId="6B4B4150" w14:textId="66E61997" w:rsidR="004B7C70" w:rsidRDefault="00C02E66" w:rsidP="00BE01EC">
      <w:pPr>
        <w:pStyle w:val="Figuregraphic"/>
      </w:pPr>
      <w:r>
        <w:rPr>
          <w:noProof/>
        </w:rPr>
        <w:drawing>
          <wp:inline distT="0" distB="0" distL="0" distR="0" wp14:anchorId="2470A700" wp14:editId="36AFE0C7">
            <wp:extent cx="5943600" cy="46678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 8 long RT incubation time.jpg"/>
                    <pic:cNvPicPr/>
                  </pic:nvPicPr>
                  <pic:blipFill>
                    <a:blip r:embed="rId47">
                      <a:extLst>
                        <a:ext uri="{28A0092B-C50C-407E-A947-70E740481C1C}">
                          <a14:useLocalDpi xmlns:a14="http://schemas.microsoft.com/office/drawing/2010/main" val="0"/>
                        </a:ext>
                      </a:extLst>
                    </a:blip>
                    <a:stretch>
                      <a:fillRect/>
                    </a:stretch>
                  </pic:blipFill>
                  <pic:spPr>
                    <a:xfrm>
                      <a:off x="0" y="0"/>
                      <a:ext cx="5943600" cy="4667885"/>
                    </a:xfrm>
                    <a:prstGeom prst="rect">
                      <a:avLst/>
                    </a:prstGeom>
                  </pic:spPr>
                </pic:pic>
              </a:graphicData>
            </a:graphic>
          </wp:inline>
        </w:drawing>
      </w:r>
    </w:p>
    <w:p w14:paraId="6814B3D4" w14:textId="5830933B" w:rsidR="004B7C70" w:rsidRDefault="004B7C70" w:rsidP="004B7C70"/>
    <w:p w14:paraId="12AC8E49" w14:textId="41914CD7" w:rsidR="004B7C70" w:rsidRDefault="00900795" w:rsidP="00BE01EC">
      <w:pPr>
        <w:pStyle w:val="Figurenumberandcaption"/>
      </w:pPr>
      <w:r>
        <w:rPr>
          <w:b/>
          <w:bCs/>
        </w:rPr>
        <w:t>Figure</w:t>
      </w:r>
      <w:r w:rsidR="004B7C70" w:rsidRPr="000404D4">
        <w:rPr>
          <w:b/>
          <w:bCs/>
        </w:rPr>
        <w:t xml:space="preserve"> 8.</w:t>
      </w:r>
      <w:r w:rsidR="004B7C70" w:rsidRPr="000404D4">
        <w:t xml:space="preserve"> Sensitivity limits of </w:t>
      </w:r>
      <w:r w:rsidR="004B7C70">
        <w:t xml:space="preserve">a </w:t>
      </w:r>
      <w:r w:rsidR="004B7C70" w:rsidRPr="000404D4">
        <w:t xml:space="preserve">competition kinetics assay for detecting </w:t>
      </w:r>
      <w:r w:rsidR="004B7C70">
        <w:t xml:space="preserve">a </w:t>
      </w:r>
      <w:r w:rsidR="004B7C70" w:rsidRPr="000404D4">
        <w:t>long residence time: Effect of experiment run time. Simulated data show that if the incubation time is too short, residence time is poorly estimated by the method</w:t>
      </w:r>
      <w:r w:rsidR="00275B2B">
        <w:t xml:space="preserve"> (45</w:t>
      </w:r>
      <w:proofErr w:type="gramStart"/>
      <w:r w:rsidR="00275B2B">
        <w:t>,46</w:t>
      </w:r>
      <w:proofErr w:type="gramEnd"/>
      <w:r w:rsidR="00275B2B">
        <w:t>)</w:t>
      </w:r>
      <w:r w:rsidR="004B7C70" w:rsidRPr="000404D4">
        <w:t>. Repeated experimental runs (30</w:t>
      </w:r>
      <w:r w:rsidR="0066531F">
        <w:t xml:space="preserve"> in total</w:t>
      </w:r>
      <w:r w:rsidR="004B7C70" w:rsidRPr="000404D4">
        <w:t xml:space="preserve">) were simulated using the Monte Carlo method for a test compound with a RT of </w:t>
      </w:r>
      <w:r w:rsidR="004B7C70">
        <w:t>6</w:t>
      </w:r>
      <w:r w:rsidR="004B7C70" w:rsidRPr="000404D4">
        <w:t xml:space="preserve"> </w:t>
      </w:r>
      <w:proofErr w:type="spellStart"/>
      <w:r w:rsidR="004B7C70" w:rsidRPr="000404D4">
        <w:t>hr</w:t>
      </w:r>
      <w:proofErr w:type="spellEnd"/>
      <w:r w:rsidR="004B7C70" w:rsidRPr="000404D4">
        <w:t>, as described in the supplementary information of ref.</w:t>
      </w:r>
      <w:r w:rsidR="004B7C70">
        <w:t xml:space="preserve"> (45)</w:t>
      </w:r>
      <w:r w:rsidR="004B7C70" w:rsidRPr="000404D4">
        <w:t>. This was done for 3 experiment run times – 1, 3 and 9 hr. A) Fitted test compound dissociation rate</w:t>
      </w:r>
      <w:r w:rsidR="00275B2B">
        <w:t xml:space="preserve"> constant</w:t>
      </w:r>
      <w:r w:rsidR="004B7C70" w:rsidRPr="000404D4">
        <w:t xml:space="preserve">. With a 1 </w:t>
      </w:r>
      <w:proofErr w:type="spellStart"/>
      <w:r w:rsidR="004B7C70" w:rsidRPr="000404D4">
        <w:t>hr</w:t>
      </w:r>
      <w:proofErr w:type="spellEnd"/>
      <w:r w:rsidR="004B7C70" w:rsidRPr="000404D4">
        <w:t xml:space="preserve"> run time, the </w:t>
      </w:r>
      <w:r w:rsidR="004B7C70" w:rsidRPr="000404D4">
        <w:rPr>
          <w:i/>
          <w:iCs/>
        </w:rPr>
        <w:t>k</w:t>
      </w:r>
      <w:r w:rsidR="004B7C70" w:rsidRPr="000404D4">
        <w:rPr>
          <w:vertAlign w:val="subscript"/>
        </w:rPr>
        <w:t>4</w:t>
      </w:r>
      <w:r w:rsidR="004B7C70" w:rsidRPr="000404D4">
        <w:t xml:space="preserve"> estimates vary dramatically from experiment-to-experiment (</w:t>
      </w:r>
      <w:r w:rsidR="004B7C70">
        <w:t>n</w:t>
      </w:r>
      <w:r w:rsidR="004B7C70" w:rsidRPr="000404D4">
        <w:t xml:space="preserve">ote the values </w:t>
      </w:r>
      <w:r w:rsidR="004B7C70">
        <w:t xml:space="preserve">that are </w:t>
      </w:r>
      <w:r w:rsidR="004B7C70" w:rsidRPr="000404D4">
        <w:t xml:space="preserve">close to zero – in these experiments, the fitted value </w:t>
      </w:r>
      <w:r w:rsidR="004B7C70">
        <w:t>hit</w:t>
      </w:r>
      <w:r w:rsidR="004B7C70" w:rsidRPr="000404D4">
        <w:t xml:space="preserve"> the constraint limit (</w:t>
      </w:r>
      <w:r w:rsidR="004B7C70" w:rsidRPr="000404D4">
        <w:rPr>
          <w:i/>
          <w:iCs/>
        </w:rPr>
        <w:t>k</w:t>
      </w:r>
      <w:r w:rsidR="004B7C70" w:rsidRPr="000404D4">
        <w:rPr>
          <w:vertAlign w:val="subscript"/>
        </w:rPr>
        <w:t>4</w:t>
      </w:r>
      <w:r w:rsidR="004B7C70" w:rsidRPr="000404D4">
        <w:t xml:space="preserve"> &gt; 0)). Increasing the run time to 3 and 9 </w:t>
      </w:r>
      <w:proofErr w:type="spellStart"/>
      <w:r w:rsidR="004B7C70" w:rsidRPr="000404D4">
        <w:t>hr</w:t>
      </w:r>
      <w:proofErr w:type="spellEnd"/>
      <w:r w:rsidR="004B7C70" w:rsidRPr="000404D4">
        <w:t xml:space="preserve"> dramatically increases the reliability of the fit, evident from the much smaller spread of </w:t>
      </w:r>
      <w:r w:rsidR="004B7C70" w:rsidRPr="000404D4">
        <w:rPr>
          <w:i/>
          <w:iCs/>
        </w:rPr>
        <w:t>k</w:t>
      </w:r>
      <w:r w:rsidR="004B7C70" w:rsidRPr="000404D4">
        <w:rPr>
          <w:vertAlign w:val="subscript"/>
        </w:rPr>
        <w:t>4</w:t>
      </w:r>
      <w:r w:rsidR="004B7C70" w:rsidRPr="000404D4">
        <w:t xml:space="preserve"> values. B-D) Representative time course traces for 1, 3 and 9 </w:t>
      </w:r>
      <w:proofErr w:type="spellStart"/>
      <w:r w:rsidR="004B7C70" w:rsidRPr="000404D4">
        <w:t>hr</w:t>
      </w:r>
      <w:proofErr w:type="spellEnd"/>
      <w:r w:rsidR="004B7C70" w:rsidRPr="000404D4">
        <w:t xml:space="preserve"> run times. Simulation parameters were: </w:t>
      </w:r>
      <w:r w:rsidR="004B7C70" w:rsidRPr="000404D4">
        <w:rPr>
          <w:i/>
          <w:iCs/>
        </w:rPr>
        <w:t>k</w:t>
      </w:r>
      <w:r w:rsidR="004B7C70" w:rsidRPr="000404D4">
        <w:rPr>
          <w:vertAlign w:val="subscript"/>
        </w:rPr>
        <w:t>1</w:t>
      </w:r>
      <w:r w:rsidR="004B7C70" w:rsidRPr="000404D4">
        <w:t xml:space="preserve">, 1 </w:t>
      </w:r>
      <w:r w:rsidR="004B7C70" w:rsidRPr="000404D4">
        <w:sym w:font="Symbol" w:char="F0B4"/>
      </w:r>
      <w:r w:rsidR="004B7C70" w:rsidRPr="000404D4">
        <w:t xml:space="preserve"> 10</w:t>
      </w:r>
      <w:r w:rsidR="004B7C70" w:rsidRPr="000404D4">
        <w:rPr>
          <w:vertAlign w:val="superscript"/>
        </w:rPr>
        <w:t>8</w:t>
      </w:r>
      <w:r w:rsidR="004B7C70" w:rsidRPr="000404D4">
        <w:t xml:space="preserve"> M</w:t>
      </w:r>
      <w:r w:rsidR="004B7C70" w:rsidRPr="000404D4">
        <w:rPr>
          <w:vertAlign w:val="superscript"/>
        </w:rPr>
        <w:t>-1</w:t>
      </w:r>
      <w:r w:rsidR="004B7C70" w:rsidRPr="000404D4">
        <w:t>min</w:t>
      </w:r>
      <w:r w:rsidR="004B7C70" w:rsidRPr="000404D4">
        <w:rPr>
          <w:vertAlign w:val="superscript"/>
        </w:rPr>
        <w:t>-1</w:t>
      </w:r>
      <w:r w:rsidR="004B7C70" w:rsidRPr="000404D4">
        <w:t xml:space="preserve">; </w:t>
      </w:r>
      <w:r w:rsidR="004B7C70" w:rsidRPr="000404D4">
        <w:rPr>
          <w:i/>
          <w:iCs/>
        </w:rPr>
        <w:t>k</w:t>
      </w:r>
      <w:r w:rsidR="004B7C70" w:rsidRPr="000404D4">
        <w:rPr>
          <w:vertAlign w:val="subscript"/>
        </w:rPr>
        <w:t>2</w:t>
      </w:r>
      <w:r w:rsidR="004B7C70" w:rsidRPr="000404D4">
        <w:t>, 0.1 min</w:t>
      </w:r>
      <w:r w:rsidR="004B7C70" w:rsidRPr="000404D4">
        <w:rPr>
          <w:vertAlign w:val="superscript"/>
        </w:rPr>
        <w:t>-1</w:t>
      </w:r>
      <w:r w:rsidR="004B7C70" w:rsidRPr="000404D4">
        <w:t xml:space="preserve">; </w:t>
      </w:r>
      <w:r w:rsidR="004B7C70" w:rsidRPr="000404D4">
        <w:rPr>
          <w:i/>
          <w:iCs/>
        </w:rPr>
        <w:t>k</w:t>
      </w:r>
      <w:r w:rsidR="004B7C70" w:rsidRPr="000404D4">
        <w:rPr>
          <w:vertAlign w:val="subscript"/>
        </w:rPr>
        <w:t>3</w:t>
      </w:r>
      <w:r w:rsidR="004B7C70" w:rsidRPr="000404D4">
        <w:t xml:space="preserve">, 2.78 </w:t>
      </w:r>
      <w:r w:rsidR="004B7C70" w:rsidRPr="000404D4">
        <w:sym w:font="Symbol" w:char="F0B4"/>
      </w:r>
      <w:r w:rsidR="004B7C70" w:rsidRPr="000404D4">
        <w:t xml:space="preserve"> 10</w:t>
      </w:r>
      <w:r w:rsidR="004B7C70" w:rsidRPr="000404D4">
        <w:rPr>
          <w:vertAlign w:val="superscript"/>
        </w:rPr>
        <w:t>6</w:t>
      </w:r>
      <w:r w:rsidR="004B7C70" w:rsidRPr="000404D4">
        <w:t xml:space="preserve"> M</w:t>
      </w:r>
      <w:r w:rsidR="004B7C70" w:rsidRPr="000404D4">
        <w:rPr>
          <w:vertAlign w:val="superscript"/>
        </w:rPr>
        <w:t>-1</w:t>
      </w:r>
      <w:r w:rsidR="004B7C70" w:rsidRPr="000404D4">
        <w:t>min</w:t>
      </w:r>
      <w:r w:rsidR="004B7C70" w:rsidRPr="000404D4">
        <w:rPr>
          <w:vertAlign w:val="superscript"/>
        </w:rPr>
        <w:t>-1</w:t>
      </w:r>
      <w:r w:rsidR="004B7C70" w:rsidRPr="000404D4">
        <w:t xml:space="preserve">; </w:t>
      </w:r>
      <w:r w:rsidR="004B7C70" w:rsidRPr="000404D4">
        <w:rPr>
          <w:i/>
          <w:iCs/>
        </w:rPr>
        <w:t>k</w:t>
      </w:r>
      <w:r w:rsidR="004B7C70" w:rsidRPr="000404D4">
        <w:rPr>
          <w:vertAlign w:val="subscript"/>
        </w:rPr>
        <w:t>4</w:t>
      </w:r>
      <w:r w:rsidR="004B7C70" w:rsidRPr="000404D4">
        <w:t>, 0.00278 min</w:t>
      </w:r>
      <w:r w:rsidR="004B7C70" w:rsidRPr="000404D4">
        <w:rPr>
          <w:vertAlign w:val="superscript"/>
        </w:rPr>
        <w:t>-1</w:t>
      </w:r>
      <w:r w:rsidR="004B7C70" w:rsidRPr="000404D4">
        <w:t xml:space="preserve">; L, 3 </w:t>
      </w:r>
      <w:proofErr w:type="spellStart"/>
      <w:r w:rsidR="004B7C70" w:rsidRPr="000404D4">
        <w:t>nM</w:t>
      </w:r>
      <w:proofErr w:type="spellEnd"/>
      <w:r w:rsidR="004B7C70" w:rsidRPr="000404D4">
        <w:t xml:space="preserve">; I, </w:t>
      </w:r>
      <w:r w:rsidR="004B7C70">
        <w:t>2</w:t>
      </w:r>
      <w:r w:rsidR="004B7C70" w:rsidRPr="000404D4">
        <w:t xml:space="preserve">, </w:t>
      </w:r>
      <w:r w:rsidR="004B7C70">
        <w:t>6</w:t>
      </w:r>
      <w:r w:rsidR="004B7C70" w:rsidRPr="000404D4">
        <w:t xml:space="preserve"> and 1</w:t>
      </w:r>
      <w:r w:rsidR="004B7C70">
        <w:t>8</w:t>
      </w:r>
      <w:r w:rsidR="004B7C70" w:rsidRPr="000404D4">
        <w:t xml:space="preserve"> </w:t>
      </w:r>
      <w:proofErr w:type="spellStart"/>
      <w:r w:rsidR="004B7C70" w:rsidRPr="000404D4">
        <w:t>nM</w:t>
      </w:r>
      <w:proofErr w:type="spellEnd"/>
      <w:r w:rsidR="004B7C70" w:rsidRPr="000404D4">
        <w:t xml:space="preserve">; </w:t>
      </w:r>
      <w:proofErr w:type="spellStart"/>
      <w:r w:rsidR="004B7C70" w:rsidRPr="000404D4">
        <w:t>B</w:t>
      </w:r>
      <w:r w:rsidR="004B7C70" w:rsidRPr="000404D4">
        <w:rPr>
          <w:vertAlign w:val="subscript"/>
        </w:rPr>
        <w:t>max</w:t>
      </w:r>
      <w:proofErr w:type="spellEnd"/>
      <w:r w:rsidR="004B7C70" w:rsidRPr="000404D4">
        <w:t xml:space="preserve">, 30; first time point, 30 sec; read frequency, 30 sec; 2 technical replicates; Gaussian absolute random scatter with SD of 0.5. Data based on </w:t>
      </w:r>
      <w:r w:rsidR="00131CAC">
        <w:t xml:space="preserve">Figure </w:t>
      </w:r>
      <w:r w:rsidR="00131CAC" w:rsidRPr="009D5429">
        <w:rPr>
          <w:rStyle w:val="Processinginstructionchar"/>
        </w:rPr>
        <w:t>&lt;</w:t>
      </w:r>
      <w:proofErr w:type="gramStart"/>
      <w:r w:rsidR="00131CAC" w:rsidRPr="009D5429">
        <w:rPr>
          <w:rStyle w:val="Processinginstructionchar"/>
        </w:rPr>
        <w:t>?escape</w:t>
      </w:r>
      <w:proofErr w:type="gramEnd"/>
      <w:r w:rsidR="00131CAC" w:rsidRPr="009D5429">
        <w:rPr>
          <w:rStyle w:val="Processinginstructionchar"/>
        </w:rPr>
        <w:t>?&gt;</w:t>
      </w:r>
      <w:r w:rsidR="00131CAC">
        <w:t xml:space="preserve">2 </w:t>
      </w:r>
      <w:r w:rsidR="004B7C70" w:rsidRPr="000404D4">
        <w:t xml:space="preserve"> of ref.</w:t>
      </w:r>
      <w:r w:rsidR="004B7C70">
        <w:t xml:space="preserve"> (46)</w:t>
      </w:r>
      <w:r w:rsidR="004B7C70" w:rsidRPr="000404D4">
        <w:t>.</w:t>
      </w:r>
    </w:p>
    <w:p w14:paraId="5A8D2E4D" w14:textId="77777777" w:rsidR="00EC3B55" w:rsidRDefault="00EC3B55" w:rsidP="004B7C70">
      <w:pPr>
        <w:rPr>
          <w:noProof/>
        </w:rPr>
      </w:pPr>
    </w:p>
    <w:p w14:paraId="75362114" w14:textId="77777777" w:rsidR="00EC3B55" w:rsidRDefault="00EC3B55" w:rsidP="004B7C70">
      <w:pPr>
        <w:rPr>
          <w:noProof/>
        </w:rPr>
      </w:pPr>
    </w:p>
    <w:p w14:paraId="389FE5B1" w14:textId="77777777" w:rsidR="00EC3B55" w:rsidRDefault="00EC3B55" w:rsidP="004B7C70">
      <w:pPr>
        <w:rPr>
          <w:noProof/>
        </w:rPr>
      </w:pPr>
    </w:p>
    <w:p w14:paraId="693B80A7" w14:textId="77777777" w:rsidR="00EC3B55" w:rsidRDefault="00EC3B55" w:rsidP="004B7C70">
      <w:pPr>
        <w:rPr>
          <w:noProof/>
        </w:rPr>
      </w:pPr>
    </w:p>
    <w:p w14:paraId="2AC38034" w14:textId="77777777" w:rsidR="00EC3B55" w:rsidRDefault="00EC3B55" w:rsidP="004B7C70">
      <w:pPr>
        <w:rPr>
          <w:noProof/>
        </w:rPr>
      </w:pPr>
    </w:p>
    <w:p w14:paraId="291A1632" w14:textId="1E8EF818" w:rsidR="00EC3B55" w:rsidRDefault="00C02E66" w:rsidP="00BE01EC">
      <w:pPr>
        <w:pStyle w:val="Figuregraphic"/>
        <w:rPr>
          <w:noProof/>
        </w:rPr>
      </w:pPr>
      <w:r>
        <w:rPr>
          <w:noProof/>
        </w:rPr>
        <w:drawing>
          <wp:inline distT="0" distB="0" distL="0" distR="0" wp14:anchorId="6DD07E7E" wp14:editId="12A1E58D">
            <wp:extent cx="5943600" cy="487045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 9 short RT read frequency.jpg"/>
                    <pic:cNvPicPr/>
                  </pic:nvPicPr>
                  <pic:blipFill>
                    <a:blip r:embed="rId48">
                      <a:extLst>
                        <a:ext uri="{28A0092B-C50C-407E-A947-70E740481C1C}">
                          <a14:useLocalDpi xmlns:a14="http://schemas.microsoft.com/office/drawing/2010/main" val="0"/>
                        </a:ext>
                      </a:extLst>
                    </a:blip>
                    <a:stretch>
                      <a:fillRect/>
                    </a:stretch>
                  </pic:blipFill>
                  <pic:spPr>
                    <a:xfrm>
                      <a:off x="0" y="0"/>
                      <a:ext cx="5943600" cy="4870450"/>
                    </a:xfrm>
                    <a:prstGeom prst="rect">
                      <a:avLst/>
                    </a:prstGeom>
                  </pic:spPr>
                </pic:pic>
              </a:graphicData>
            </a:graphic>
          </wp:inline>
        </w:drawing>
      </w:r>
    </w:p>
    <w:p w14:paraId="78E773CB" w14:textId="5C6957C1" w:rsidR="004B7C70" w:rsidRDefault="004B7C70" w:rsidP="004B7C70"/>
    <w:p w14:paraId="50586958" w14:textId="4F3C5566" w:rsidR="00EC3B55" w:rsidRDefault="00900795" w:rsidP="00BE01EC">
      <w:pPr>
        <w:pStyle w:val="Figurenumberandcaption"/>
      </w:pPr>
      <w:r>
        <w:rPr>
          <w:b/>
          <w:bCs/>
        </w:rPr>
        <w:t>Figure</w:t>
      </w:r>
      <w:r w:rsidR="004B7C70" w:rsidRPr="009367F1">
        <w:rPr>
          <w:b/>
          <w:bCs/>
        </w:rPr>
        <w:t xml:space="preserve"> 9.</w:t>
      </w:r>
      <w:r w:rsidR="004B7C70" w:rsidRPr="009367F1">
        <w:t xml:space="preserve"> Sensitivity limits of </w:t>
      </w:r>
      <w:r w:rsidR="004B7C70">
        <w:t xml:space="preserve">a </w:t>
      </w:r>
      <w:r w:rsidR="004B7C70" w:rsidRPr="009367F1">
        <w:t>competition kinetics assay for detecting</w:t>
      </w:r>
      <w:r w:rsidR="004B7C70">
        <w:t xml:space="preserve"> a</w:t>
      </w:r>
      <w:r w:rsidR="004B7C70" w:rsidRPr="009367F1">
        <w:t xml:space="preserve"> short residence time: Effect of read frequency / measuring interval. Simulated data show that, to accurately measure short residence times, the read frequency needs to be high</w:t>
      </w:r>
      <w:r w:rsidR="00B00170">
        <w:t xml:space="preserve"> (</w:t>
      </w:r>
      <w:r w:rsidR="00FE1409">
        <w:t>45</w:t>
      </w:r>
      <w:proofErr w:type="gramStart"/>
      <w:r w:rsidR="00FE1409">
        <w:t>,46</w:t>
      </w:r>
      <w:proofErr w:type="gramEnd"/>
      <w:r w:rsidR="00FE1409">
        <w:t>)</w:t>
      </w:r>
      <w:r w:rsidR="004B7C70" w:rsidRPr="009367F1">
        <w:t>. Repeated experimental runs (30) were simulated using the Monte Carlo method for a test compound with a RT of 10 sec, as described in the supplementary information of ref.</w:t>
      </w:r>
      <w:r w:rsidR="004B7C70">
        <w:t xml:space="preserve"> (45)</w:t>
      </w:r>
      <w:r w:rsidR="004B7C70" w:rsidRPr="009367F1">
        <w:t xml:space="preserve">. This was done for 3 read frequencies – 1 min, 10 sec and 1 sec. </w:t>
      </w:r>
      <w:r w:rsidR="00FE1409">
        <w:rPr>
          <w:rFonts w:ascii="Segoe UI" w:hAnsi="Segoe UI" w:cs="Segoe UI"/>
          <w:color w:val="000000"/>
          <w:sz w:val="20"/>
          <w:szCs w:val="20"/>
        </w:rPr>
        <w:t xml:space="preserve">A) Fitted test compound dissociation rate constant. </w:t>
      </w:r>
      <w:r w:rsidR="004B7C70" w:rsidRPr="009367F1">
        <w:t xml:space="preserve">With a 1 min read frequency, the </w:t>
      </w:r>
      <w:r w:rsidR="004B7C70" w:rsidRPr="009367F1">
        <w:rPr>
          <w:i/>
          <w:iCs/>
        </w:rPr>
        <w:t>k</w:t>
      </w:r>
      <w:r w:rsidR="004B7C70" w:rsidRPr="009367F1">
        <w:rPr>
          <w:vertAlign w:val="subscript"/>
        </w:rPr>
        <w:t>4</w:t>
      </w:r>
      <w:r w:rsidR="004B7C70" w:rsidRPr="009367F1">
        <w:t xml:space="preserve"> estimates vary dramatically from experiment-to-experiment. Increasing the read frequency to 10 sec and 1 sec </w:t>
      </w:r>
      <w:r w:rsidR="004B7C70" w:rsidRPr="009367F1">
        <w:lastRenderedPageBreak/>
        <w:t xml:space="preserve">dramatically increases the reliability of the fit, evident from the much smaller spread of </w:t>
      </w:r>
      <w:r w:rsidR="004B7C70" w:rsidRPr="009367F1">
        <w:rPr>
          <w:i/>
          <w:iCs/>
        </w:rPr>
        <w:t>k</w:t>
      </w:r>
      <w:r w:rsidR="004B7C70" w:rsidRPr="009367F1">
        <w:rPr>
          <w:vertAlign w:val="subscript"/>
        </w:rPr>
        <w:t>4</w:t>
      </w:r>
      <w:r w:rsidR="004B7C70" w:rsidRPr="009367F1">
        <w:t xml:space="preserve"> values. B-D) Representative time course traces for the different read frequencies. Simulation parameters were: </w:t>
      </w:r>
      <w:r w:rsidR="004B7C70" w:rsidRPr="009367F1">
        <w:rPr>
          <w:i/>
          <w:iCs/>
        </w:rPr>
        <w:t>k</w:t>
      </w:r>
      <w:r w:rsidR="004B7C70" w:rsidRPr="009367F1">
        <w:rPr>
          <w:vertAlign w:val="subscript"/>
        </w:rPr>
        <w:t>1</w:t>
      </w:r>
      <w:r w:rsidR="004B7C70" w:rsidRPr="009367F1">
        <w:t xml:space="preserve">, 1 </w:t>
      </w:r>
      <w:r w:rsidR="004B7C70" w:rsidRPr="009367F1">
        <w:sym w:font="Symbol" w:char="F0B4"/>
      </w:r>
      <w:r w:rsidR="004B7C70" w:rsidRPr="009367F1">
        <w:t xml:space="preserve"> 10</w:t>
      </w:r>
      <w:r w:rsidR="004B7C70" w:rsidRPr="009367F1">
        <w:rPr>
          <w:vertAlign w:val="superscript"/>
        </w:rPr>
        <w:t>8</w:t>
      </w:r>
      <w:r w:rsidR="004B7C70" w:rsidRPr="009367F1">
        <w:t xml:space="preserve"> M</w:t>
      </w:r>
      <w:r w:rsidR="004B7C70" w:rsidRPr="009367F1">
        <w:rPr>
          <w:vertAlign w:val="superscript"/>
        </w:rPr>
        <w:t>-1</w:t>
      </w:r>
      <w:r w:rsidR="004B7C70" w:rsidRPr="009367F1">
        <w:t>min</w:t>
      </w:r>
      <w:r w:rsidR="004B7C70" w:rsidRPr="009367F1">
        <w:rPr>
          <w:vertAlign w:val="superscript"/>
        </w:rPr>
        <w:t>-1</w:t>
      </w:r>
      <w:r w:rsidR="004B7C70" w:rsidRPr="009367F1">
        <w:t xml:space="preserve">; </w:t>
      </w:r>
      <w:r w:rsidR="004B7C70" w:rsidRPr="009367F1">
        <w:rPr>
          <w:i/>
          <w:iCs/>
        </w:rPr>
        <w:t>k</w:t>
      </w:r>
      <w:r w:rsidR="004B7C70" w:rsidRPr="009367F1">
        <w:rPr>
          <w:vertAlign w:val="subscript"/>
        </w:rPr>
        <w:t>2</w:t>
      </w:r>
      <w:r w:rsidR="004B7C70" w:rsidRPr="009367F1">
        <w:t>, 0.1 min</w:t>
      </w:r>
      <w:r w:rsidR="004B7C70" w:rsidRPr="009367F1">
        <w:rPr>
          <w:vertAlign w:val="superscript"/>
        </w:rPr>
        <w:t>-1</w:t>
      </w:r>
      <w:r w:rsidR="004B7C70" w:rsidRPr="009367F1">
        <w:t xml:space="preserve">; </w:t>
      </w:r>
      <w:r w:rsidR="004B7C70" w:rsidRPr="009367F1">
        <w:rPr>
          <w:i/>
          <w:iCs/>
        </w:rPr>
        <w:t>k</w:t>
      </w:r>
      <w:r w:rsidR="004B7C70" w:rsidRPr="009367F1">
        <w:rPr>
          <w:vertAlign w:val="subscript"/>
        </w:rPr>
        <w:t>3</w:t>
      </w:r>
      <w:r w:rsidR="004B7C70" w:rsidRPr="009367F1">
        <w:t xml:space="preserve">, 6 </w:t>
      </w:r>
      <w:r w:rsidR="004B7C70" w:rsidRPr="009367F1">
        <w:sym w:font="Symbol" w:char="F0B4"/>
      </w:r>
      <w:r w:rsidR="004B7C70" w:rsidRPr="009367F1">
        <w:t xml:space="preserve"> 10</w:t>
      </w:r>
      <w:r w:rsidR="004B7C70" w:rsidRPr="009367F1">
        <w:rPr>
          <w:vertAlign w:val="superscript"/>
        </w:rPr>
        <w:t>7</w:t>
      </w:r>
      <w:r w:rsidR="004B7C70" w:rsidRPr="009367F1">
        <w:t xml:space="preserve"> M</w:t>
      </w:r>
      <w:r w:rsidR="004B7C70" w:rsidRPr="009367F1">
        <w:rPr>
          <w:vertAlign w:val="superscript"/>
        </w:rPr>
        <w:t>-1</w:t>
      </w:r>
      <w:r w:rsidR="004B7C70" w:rsidRPr="009367F1">
        <w:t>min</w:t>
      </w:r>
      <w:r w:rsidR="004B7C70" w:rsidRPr="009367F1">
        <w:rPr>
          <w:vertAlign w:val="superscript"/>
        </w:rPr>
        <w:t>-1</w:t>
      </w:r>
      <w:r w:rsidR="004B7C70" w:rsidRPr="009367F1">
        <w:t xml:space="preserve">; </w:t>
      </w:r>
      <w:r w:rsidR="004B7C70" w:rsidRPr="009367F1">
        <w:rPr>
          <w:i/>
          <w:iCs/>
        </w:rPr>
        <w:t>k</w:t>
      </w:r>
      <w:r w:rsidR="004B7C70" w:rsidRPr="009367F1">
        <w:rPr>
          <w:vertAlign w:val="subscript"/>
        </w:rPr>
        <w:t>4</w:t>
      </w:r>
      <w:r w:rsidR="004B7C70" w:rsidRPr="009367F1">
        <w:t>, 6 min</w:t>
      </w:r>
      <w:r w:rsidR="004B7C70" w:rsidRPr="009367F1">
        <w:rPr>
          <w:vertAlign w:val="superscript"/>
        </w:rPr>
        <w:t>-1</w:t>
      </w:r>
      <w:r w:rsidR="004B7C70" w:rsidRPr="009367F1">
        <w:t xml:space="preserve">; L, 3 </w:t>
      </w:r>
      <w:proofErr w:type="spellStart"/>
      <w:r w:rsidR="004B7C70" w:rsidRPr="009367F1">
        <w:t>nM</w:t>
      </w:r>
      <w:proofErr w:type="spellEnd"/>
      <w:r w:rsidR="004B7C70" w:rsidRPr="009367F1">
        <w:t xml:space="preserve">; I, 133, 400 and 1200 </w:t>
      </w:r>
      <w:proofErr w:type="spellStart"/>
      <w:r w:rsidR="004B7C70" w:rsidRPr="009367F1">
        <w:t>nM</w:t>
      </w:r>
      <w:proofErr w:type="spellEnd"/>
      <w:r w:rsidR="004B7C70" w:rsidRPr="009367F1">
        <w:t xml:space="preserve">; </w:t>
      </w:r>
      <w:proofErr w:type="spellStart"/>
      <w:r w:rsidR="004B7C70" w:rsidRPr="009367F1">
        <w:t>B</w:t>
      </w:r>
      <w:r w:rsidR="004B7C70" w:rsidRPr="009367F1">
        <w:rPr>
          <w:vertAlign w:val="subscript"/>
        </w:rPr>
        <w:t>max</w:t>
      </w:r>
      <w:proofErr w:type="spellEnd"/>
      <w:r w:rsidR="004B7C70" w:rsidRPr="009367F1">
        <w:t xml:space="preserve">, 30; last time point, 20 min; 2 technical replicates; Gaussian absolute random scatter with SD of 0.5. Data based on </w:t>
      </w:r>
      <w:r>
        <w:t>Figure</w:t>
      </w:r>
      <w:r w:rsidR="004B7C70" w:rsidRPr="009367F1">
        <w:t xml:space="preserve"> 3 of ref.</w:t>
      </w:r>
      <w:r w:rsidR="004B7C70">
        <w:t xml:space="preserve"> (46)</w:t>
      </w:r>
      <w:r w:rsidR="004B7C70" w:rsidRPr="009367F1">
        <w:t>.</w:t>
      </w:r>
    </w:p>
    <w:p w14:paraId="5B6DED34" w14:textId="77777777" w:rsidR="00534E94" w:rsidRDefault="00534E94" w:rsidP="004B7C70">
      <w:pPr>
        <w:rPr>
          <w:noProof/>
        </w:rPr>
      </w:pPr>
    </w:p>
    <w:p w14:paraId="2331B869" w14:textId="77777777" w:rsidR="00534E94" w:rsidRDefault="00534E94" w:rsidP="004B7C70">
      <w:pPr>
        <w:rPr>
          <w:noProof/>
        </w:rPr>
      </w:pPr>
    </w:p>
    <w:p w14:paraId="457C69CA" w14:textId="77777777" w:rsidR="00534E94" w:rsidRDefault="00534E94" w:rsidP="004B7C70">
      <w:pPr>
        <w:rPr>
          <w:noProof/>
        </w:rPr>
      </w:pPr>
    </w:p>
    <w:p w14:paraId="50F33576" w14:textId="77777777" w:rsidR="00534E94" w:rsidRDefault="00534E94" w:rsidP="004B7C70">
      <w:pPr>
        <w:rPr>
          <w:noProof/>
        </w:rPr>
      </w:pPr>
    </w:p>
    <w:p w14:paraId="1D56C9DC" w14:textId="77777777" w:rsidR="00534E94" w:rsidRDefault="00534E94" w:rsidP="004B7C70">
      <w:pPr>
        <w:rPr>
          <w:noProof/>
        </w:rPr>
      </w:pPr>
    </w:p>
    <w:p w14:paraId="258AB62B" w14:textId="77777777" w:rsidR="00534E94" w:rsidRDefault="00534E94" w:rsidP="004B7C70">
      <w:pPr>
        <w:rPr>
          <w:noProof/>
        </w:rPr>
      </w:pPr>
    </w:p>
    <w:p w14:paraId="557B60C4" w14:textId="77777777" w:rsidR="00534E94" w:rsidRDefault="00534E94" w:rsidP="004B7C70">
      <w:pPr>
        <w:rPr>
          <w:noProof/>
        </w:rPr>
      </w:pPr>
    </w:p>
    <w:p w14:paraId="793C348A" w14:textId="4F2677DC" w:rsidR="00534E94" w:rsidRDefault="00C02E66" w:rsidP="00BE01EC">
      <w:pPr>
        <w:pStyle w:val="Figuregraphic"/>
        <w:rPr>
          <w:noProof/>
        </w:rPr>
      </w:pPr>
      <w:r>
        <w:rPr>
          <w:noProof/>
        </w:rPr>
        <w:drawing>
          <wp:inline distT="0" distB="0" distL="0" distR="0" wp14:anchorId="11D10951" wp14:editId="0E6DF3D7">
            <wp:extent cx="5943600" cy="25101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 10 compound pre-incubation.jpg"/>
                    <pic:cNvPicPr/>
                  </pic:nvPicPr>
                  <pic:blipFill>
                    <a:blip r:embed="rId49">
                      <a:extLst>
                        <a:ext uri="{28A0092B-C50C-407E-A947-70E740481C1C}">
                          <a14:useLocalDpi xmlns:a14="http://schemas.microsoft.com/office/drawing/2010/main" val="0"/>
                        </a:ext>
                      </a:extLst>
                    </a:blip>
                    <a:stretch>
                      <a:fillRect/>
                    </a:stretch>
                  </pic:blipFill>
                  <pic:spPr>
                    <a:xfrm>
                      <a:off x="0" y="0"/>
                      <a:ext cx="5943600" cy="2510155"/>
                    </a:xfrm>
                    <a:prstGeom prst="rect">
                      <a:avLst/>
                    </a:prstGeom>
                  </pic:spPr>
                </pic:pic>
              </a:graphicData>
            </a:graphic>
          </wp:inline>
        </w:drawing>
      </w:r>
    </w:p>
    <w:p w14:paraId="11E7269E" w14:textId="77777777" w:rsidR="004B7C70" w:rsidRDefault="004B7C70" w:rsidP="004B7C70">
      <w:pPr>
        <w:rPr>
          <w:b/>
          <w:bCs/>
        </w:rPr>
      </w:pPr>
    </w:p>
    <w:p w14:paraId="6BC1365D" w14:textId="1683F979" w:rsidR="004B7C70" w:rsidRPr="00EA537B" w:rsidRDefault="00900795" w:rsidP="00BE01EC">
      <w:pPr>
        <w:pStyle w:val="Figurenumberandcaption"/>
      </w:pPr>
      <w:r>
        <w:rPr>
          <w:b/>
          <w:bCs/>
        </w:rPr>
        <w:t>Figure</w:t>
      </w:r>
      <w:r w:rsidR="004B7C70" w:rsidRPr="00EA537B">
        <w:rPr>
          <w:b/>
          <w:bCs/>
        </w:rPr>
        <w:t xml:space="preserve"> 10.</w:t>
      </w:r>
      <w:r w:rsidR="004B7C70" w:rsidRPr="00EA537B">
        <w:t xml:space="preserve"> Compound pre-incubation competition kinetics method and analysis. Often it is desirable to pre-incubate compound with target before adding tracer in a binding assay, for example when using plated cells. An equation is available to analyze these data to determine the binding kinetic rates of test compound. In the experimental protocol (left), compound is added to target and the two are incubated for a specified time period. Tracer is then added, and tracer binding to the target recorded. Three concentrations of compound are tested, as described for the original competition kinetics method (</w:t>
      </w:r>
      <w:hyperlink w:anchor="_Introduction" w:history="1">
        <w:r w:rsidR="00426499" w:rsidRPr="00426499">
          <w:rPr>
            <w:rStyle w:val="Hyperlink"/>
            <w:sz w:val="20"/>
          </w:rPr>
          <w:t>Competition Kinetics Introduction</w:t>
        </w:r>
      </w:hyperlink>
      <w:r w:rsidR="004B7C70" w:rsidRPr="00EA537B">
        <w:t xml:space="preserve">). Data (right) are analyzed as for the original method (see </w:t>
      </w:r>
      <w:r w:rsidR="00DD7AA8">
        <w:t>supplementary file</w:t>
      </w:r>
      <w:r w:rsidR="00DD7AA8" w:rsidRPr="00EA537B">
        <w:t xml:space="preserve"> </w:t>
      </w:r>
      <w:r w:rsidR="004B7C70" w:rsidRPr="00EA537B">
        <w:t>“</w:t>
      </w:r>
      <w:hyperlink r:id="rId50" w:history="1">
        <w:r w:rsidR="004B7C70" w:rsidRPr="001B62C8">
          <w:rPr>
            <w:rStyle w:val="Hyperlink"/>
            <w:sz w:val="20"/>
          </w:rPr>
          <w:t>C</w:t>
        </w:r>
        <w:r w:rsidR="00DD7AA8" w:rsidRPr="001B62C8">
          <w:rPr>
            <w:rStyle w:val="Hyperlink"/>
            <w:sz w:val="20"/>
          </w:rPr>
          <w:t>ompetition kinetics analysis</w:t>
        </w:r>
      </w:hyperlink>
      <w:r w:rsidR="00DD7AA8">
        <w:t>”</w:t>
      </w:r>
      <w:r w:rsidR="004B7C70" w:rsidRPr="00EA537B">
        <w:t>) except a different equation us used that takes into account the pre-incubation</w:t>
      </w:r>
      <w:r w:rsidR="004B7C70">
        <w:t xml:space="preserve">. This equation is available in the </w:t>
      </w:r>
      <w:r w:rsidR="001B62C8">
        <w:t xml:space="preserve">supplementary file </w:t>
      </w:r>
      <w:r w:rsidR="004B7C70">
        <w:t>“</w:t>
      </w:r>
      <w:hyperlink r:id="rId51" w:history="1">
        <w:r w:rsidR="004B7C70" w:rsidRPr="001B62C8">
          <w:rPr>
            <w:rStyle w:val="Hyperlink"/>
            <w:sz w:val="20"/>
          </w:rPr>
          <w:t>Custom equations for binding kinetics</w:t>
        </w:r>
      </w:hyperlink>
      <w:r w:rsidR="004B7C70" w:rsidRPr="00EA537B">
        <w:t>”,</w:t>
      </w:r>
      <w:r w:rsidR="004B7C70">
        <w:t xml:space="preserve"> where it is named “</w:t>
      </w:r>
      <w:r w:rsidR="004B7C70" w:rsidRPr="00FF3897">
        <w:t>[</w:t>
      </w:r>
      <w:proofErr w:type="spellStart"/>
      <w:r w:rsidR="004B7C70" w:rsidRPr="00FF3897">
        <w:t>Pharmechanics</w:t>
      </w:r>
      <w:proofErr w:type="spellEnd"/>
      <w:r w:rsidR="004B7C70" w:rsidRPr="00FF3897">
        <w:t>] Kinetics of competitive binding: Competitor pre-incubation</w:t>
      </w:r>
      <w:r w:rsidR="004B7C70">
        <w:t>.” It can be</w:t>
      </w:r>
      <w:r w:rsidR="004B7C70" w:rsidRPr="00EA537B">
        <w:t xml:space="preserve"> loaded as described in “</w:t>
      </w:r>
      <w:hyperlink r:id="rId52" w:history="1">
        <w:r w:rsidR="004B7C70" w:rsidRPr="001B62C8">
          <w:rPr>
            <w:rStyle w:val="Hyperlink"/>
            <w:sz w:val="20"/>
          </w:rPr>
          <w:t>Loading equations into Prism from a file</w:t>
        </w:r>
      </w:hyperlink>
      <w:r w:rsidR="004B7C70">
        <w:t>.</w:t>
      </w:r>
      <w:r w:rsidR="004B7C70" w:rsidRPr="00EA537B">
        <w:t xml:space="preserve">” The equation </w:t>
      </w:r>
      <w:r w:rsidR="004B7C70" w:rsidRPr="00EA537B">
        <w:lastRenderedPageBreak/>
        <w:t xml:space="preserve">contains an extra term, the pre-incubation time (“PIT”), entered as a constant in units the same as the </w:t>
      </w:r>
      <w:r w:rsidR="004B7C70">
        <w:t>x</w:t>
      </w:r>
      <w:r w:rsidR="004B7C70" w:rsidRPr="00EA537B">
        <w:t xml:space="preserve"> axis units. The analysis yields fitted values of </w:t>
      </w:r>
      <w:r w:rsidR="004B7C70" w:rsidRPr="00EA537B">
        <w:rPr>
          <w:i/>
          <w:iCs/>
        </w:rPr>
        <w:t>k</w:t>
      </w:r>
      <w:r w:rsidR="004B7C70" w:rsidRPr="00EA537B">
        <w:rPr>
          <w:vertAlign w:val="subscript"/>
        </w:rPr>
        <w:t>3</w:t>
      </w:r>
      <w:r w:rsidR="004B7C70" w:rsidRPr="00EA537B">
        <w:t xml:space="preserve"> and </w:t>
      </w:r>
      <w:r w:rsidR="004B7C70" w:rsidRPr="00EA537B">
        <w:rPr>
          <w:i/>
          <w:iCs/>
        </w:rPr>
        <w:t>k</w:t>
      </w:r>
      <w:r w:rsidR="004B7C70" w:rsidRPr="00EA537B">
        <w:rPr>
          <w:vertAlign w:val="subscript"/>
        </w:rPr>
        <w:t>4</w:t>
      </w:r>
      <w:r w:rsidR="004B7C70" w:rsidRPr="00EA537B">
        <w:t xml:space="preserve">, the binding rate constants of test compound. In this experiment, the fitted value of </w:t>
      </w:r>
      <w:r w:rsidR="004B7C70" w:rsidRPr="00EA537B">
        <w:rPr>
          <w:i/>
          <w:iCs/>
        </w:rPr>
        <w:t>k</w:t>
      </w:r>
      <w:r w:rsidR="004B7C70" w:rsidRPr="00EA537B">
        <w:rPr>
          <w:vertAlign w:val="subscript"/>
        </w:rPr>
        <w:t>3</w:t>
      </w:r>
      <w:r w:rsidR="004B7C70" w:rsidRPr="00EA537B">
        <w:t xml:space="preserve"> is 2.0 </w:t>
      </w:r>
      <w:r w:rsidR="004B7C70" w:rsidRPr="00EA537B">
        <w:sym w:font="Symbol" w:char="F0B4"/>
      </w:r>
      <w:r w:rsidR="004B7C70" w:rsidRPr="00EA537B">
        <w:t xml:space="preserve"> 10</w:t>
      </w:r>
      <w:r w:rsidR="004B7C70" w:rsidRPr="00EA537B">
        <w:rPr>
          <w:vertAlign w:val="superscript"/>
        </w:rPr>
        <w:t>7</w:t>
      </w:r>
      <w:r w:rsidR="004B7C70" w:rsidRPr="00EA537B">
        <w:t xml:space="preserve"> M</w:t>
      </w:r>
      <w:r w:rsidR="004B7C70" w:rsidRPr="00EA537B">
        <w:rPr>
          <w:vertAlign w:val="superscript"/>
        </w:rPr>
        <w:t>-1</w:t>
      </w:r>
      <w:r w:rsidR="004B7C70" w:rsidRPr="00EA537B">
        <w:t>min</w:t>
      </w:r>
      <w:r w:rsidR="004B7C70" w:rsidRPr="00EA537B">
        <w:rPr>
          <w:vertAlign w:val="superscript"/>
        </w:rPr>
        <w:t>-1</w:t>
      </w:r>
      <w:r w:rsidR="004B7C70" w:rsidRPr="00EA537B">
        <w:t xml:space="preserve"> and of </w:t>
      </w:r>
      <w:r w:rsidR="004B7C70" w:rsidRPr="00EA537B">
        <w:rPr>
          <w:i/>
          <w:iCs/>
        </w:rPr>
        <w:t>k</w:t>
      </w:r>
      <w:r w:rsidR="004B7C70" w:rsidRPr="00EA537B">
        <w:rPr>
          <w:vertAlign w:val="subscript"/>
        </w:rPr>
        <w:t>4</w:t>
      </w:r>
      <w:r w:rsidR="004B7C70" w:rsidRPr="00EA537B">
        <w:t xml:space="preserve"> is 0.049 min</w:t>
      </w:r>
      <w:r w:rsidR="004B7C70" w:rsidRPr="00EA537B">
        <w:rPr>
          <w:vertAlign w:val="superscript"/>
        </w:rPr>
        <w:t>-1</w:t>
      </w:r>
      <w:r w:rsidR="004B7C70" w:rsidRPr="00EA537B">
        <w:t>.</w:t>
      </w:r>
      <w:r w:rsidR="004B7C70">
        <w:t xml:space="preserve"> D</w:t>
      </w:r>
      <w:r w:rsidR="004B7C70" w:rsidRPr="00F9224E">
        <w:t xml:space="preserve">ata points are the mean </w:t>
      </w:r>
      <w:r w:rsidR="004B7C70" w:rsidRPr="00F9224E">
        <w:sym w:font="Symbol" w:char="F0B1"/>
      </w:r>
      <w:r w:rsidR="004B7C70" w:rsidRPr="00F9224E">
        <w:t xml:space="preserve"> SEM of two technical replicates</w:t>
      </w:r>
      <w:r w:rsidR="004B7C70">
        <w:t>.</w:t>
      </w:r>
    </w:p>
    <w:p w14:paraId="744D8B2A" w14:textId="77777777" w:rsidR="004B7C70" w:rsidRDefault="004B7C70" w:rsidP="002F04BA"/>
    <w:p w14:paraId="0DFD23C2" w14:textId="3162085D" w:rsidR="004B7C70" w:rsidRDefault="00C02E66" w:rsidP="00BE01EC">
      <w:pPr>
        <w:pStyle w:val="Figuregraphic"/>
      </w:pPr>
      <w:r>
        <w:rPr>
          <w:noProof/>
        </w:rPr>
        <w:drawing>
          <wp:inline distT="0" distB="0" distL="0" distR="0" wp14:anchorId="18E79A19" wp14:editId="1F9ED582">
            <wp:extent cx="5943600" cy="5557520"/>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 11 washout method.jpg"/>
                    <pic:cNvPicPr/>
                  </pic:nvPicPr>
                  <pic:blipFill>
                    <a:blip r:embed="rId53">
                      <a:extLst>
                        <a:ext uri="{28A0092B-C50C-407E-A947-70E740481C1C}">
                          <a14:useLocalDpi xmlns:a14="http://schemas.microsoft.com/office/drawing/2010/main" val="0"/>
                        </a:ext>
                      </a:extLst>
                    </a:blip>
                    <a:stretch>
                      <a:fillRect/>
                    </a:stretch>
                  </pic:blipFill>
                  <pic:spPr>
                    <a:xfrm>
                      <a:off x="0" y="0"/>
                      <a:ext cx="5943600" cy="5557520"/>
                    </a:xfrm>
                    <a:prstGeom prst="rect">
                      <a:avLst/>
                    </a:prstGeom>
                  </pic:spPr>
                </pic:pic>
              </a:graphicData>
            </a:graphic>
          </wp:inline>
        </w:drawing>
      </w:r>
    </w:p>
    <w:p w14:paraId="43518EEF" w14:textId="77777777" w:rsidR="004B7C70" w:rsidRDefault="004B7C70" w:rsidP="004B7C70"/>
    <w:p w14:paraId="2AE54F47" w14:textId="77777777" w:rsidR="004B7C70" w:rsidRDefault="004B7C70" w:rsidP="004B7C70"/>
    <w:p w14:paraId="3A1F1236" w14:textId="600643B0" w:rsidR="004B7C70" w:rsidRPr="003B005A" w:rsidRDefault="00900795" w:rsidP="00BE01EC">
      <w:pPr>
        <w:pStyle w:val="Figurenumberandcaption"/>
      </w:pPr>
      <w:r>
        <w:rPr>
          <w:b/>
          <w:bCs/>
        </w:rPr>
        <w:t>Figure</w:t>
      </w:r>
      <w:r w:rsidR="004B7C70" w:rsidRPr="003B005A">
        <w:rPr>
          <w:b/>
          <w:bCs/>
        </w:rPr>
        <w:t xml:space="preserve"> 11.</w:t>
      </w:r>
      <w:r w:rsidR="004B7C70" w:rsidRPr="003B005A">
        <w:t xml:space="preserve"> Washout method for quantifying unlabeled compound residence time. Target (in green) is incubated with test compound (orange) for a specified time, for the target-compound complex to form. In the next step, the unbound compound is washed out. Tracer ligand (in red) is then immediately </w:t>
      </w:r>
      <w:r w:rsidR="004B7C70" w:rsidRPr="003B005A">
        <w:lastRenderedPageBreak/>
        <w:t xml:space="preserve">applied and tracer binding measured using a time course binding assay (see graph). The pre-bound compound delays association of tracer with </w:t>
      </w:r>
      <w:r w:rsidR="00710010">
        <w:t>target</w:t>
      </w:r>
      <w:r w:rsidR="004B7C70" w:rsidRPr="003B005A">
        <w:t xml:space="preserve"> because it first has to dissociate before the tracer can bind. The resulting data can be analyzed with an equation that quantifies the dissociation rate constant of the compound (see </w:t>
      </w:r>
      <w:r>
        <w:t>Figure</w:t>
      </w:r>
      <w:r w:rsidR="004B7C70" w:rsidRPr="003B005A">
        <w:t xml:space="preserve"> 1</w:t>
      </w:r>
      <w:r w:rsidR="004B7C70">
        <w:t>2</w:t>
      </w:r>
      <w:r w:rsidR="004B7C70" w:rsidRPr="003B005A">
        <w:t>), providing the unbound compound has been sufficiently well removed during the wash step.</w:t>
      </w:r>
      <w:r w:rsidR="004B7C70">
        <w:t xml:space="preserve"> D</w:t>
      </w:r>
      <w:r w:rsidR="004B7C70" w:rsidRPr="00F9224E">
        <w:t xml:space="preserve">ata points are the mean </w:t>
      </w:r>
      <w:r w:rsidR="004B7C70" w:rsidRPr="00F9224E">
        <w:sym w:font="Symbol" w:char="F0B1"/>
      </w:r>
      <w:r w:rsidR="004B7C70" w:rsidRPr="00F9224E">
        <w:t xml:space="preserve"> SEM of two technical replicates</w:t>
      </w:r>
      <w:r w:rsidR="004B7C70">
        <w:t>.</w:t>
      </w:r>
    </w:p>
    <w:p w14:paraId="5DE0CF1B" w14:textId="77777777" w:rsidR="004B7C70" w:rsidRDefault="004B7C70" w:rsidP="002F04BA"/>
    <w:p w14:paraId="1137E673" w14:textId="77777777" w:rsidR="00534E94" w:rsidRDefault="00534E94" w:rsidP="004B7C70">
      <w:pPr>
        <w:rPr>
          <w:noProof/>
        </w:rPr>
      </w:pPr>
    </w:p>
    <w:p w14:paraId="28908067" w14:textId="77777777" w:rsidR="00534E94" w:rsidRDefault="00534E94" w:rsidP="004B7C70">
      <w:pPr>
        <w:rPr>
          <w:noProof/>
        </w:rPr>
      </w:pPr>
    </w:p>
    <w:p w14:paraId="4A9AB2DA" w14:textId="77777777" w:rsidR="00534E94" w:rsidRDefault="00534E94" w:rsidP="004B7C70">
      <w:pPr>
        <w:rPr>
          <w:noProof/>
        </w:rPr>
      </w:pPr>
    </w:p>
    <w:p w14:paraId="2BCC4152" w14:textId="233EB0B5" w:rsidR="00534E94" w:rsidRDefault="00285721" w:rsidP="00BE01EC">
      <w:pPr>
        <w:pStyle w:val="Figuregraphic"/>
        <w:rPr>
          <w:noProof/>
        </w:rPr>
      </w:pPr>
      <w:r>
        <w:rPr>
          <w:noProof/>
        </w:rPr>
        <w:drawing>
          <wp:inline distT="0" distB="0" distL="0" distR="0" wp14:anchorId="370DC807" wp14:editId="5133467B">
            <wp:extent cx="5943600" cy="46678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g 12 washout examples.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4667885"/>
                    </a:xfrm>
                    <a:prstGeom prst="rect">
                      <a:avLst/>
                    </a:prstGeom>
                  </pic:spPr>
                </pic:pic>
              </a:graphicData>
            </a:graphic>
          </wp:inline>
        </w:drawing>
      </w:r>
    </w:p>
    <w:p w14:paraId="54AAEABB" w14:textId="668A35A6" w:rsidR="004B7C70" w:rsidRDefault="004B7C70" w:rsidP="004B7C70"/>
    <w:p w14:paraId="3BFBF51B" w14:textId="77777777" w:rsidR="004B7C70" w:rsidRDefault="004B7C70" w:rsidP="004B7C70"/>
    <w:p w14:paraId="4BF6D93C" w14:textId="051C3599" w:rsidR="004B7C70" w:rsidRPr="00AB62AF" w:rsidRDefault="00900795" w:rsidP="00BE01EC">
      <w:pPr>
        <w:pStyle w:val="Figurenumberandcaption"/>
      </w:pPr>
      <w:r>
        <w:rPr>
          <w:b/>
          <w:bCs/>
        </w:rPr>
        <w:t>Figure</w:t>
      </w:r>
      <w:r w:rsidR="004B7C70" w:rsidRPr="00AB62AF">
        <w:rPr>
          <w:b/>
          <w:bCs/>
        </w:rPr>
        <w:t xml:space="preserve"> 12.</w:t>
      </w:r>
      <w:r w:rsidR="004B7C70" w:rsidRPr="00AB62AF">
        <w:t xml:space="preserve"> Washout method curve shapes for compounds with varying residence time. Data were simulated assuming 80% occupancy by compound at the end of the compound pre-incubation. When </w:t>
      </w:r>
      <w:r w:rsidR="004B7C70" w:rsidRPr="00AB62AF">
        <w:lastRenderedPageBreak/>
        <w:t xml:space="preserve">the RT is short (A, 6 min), the compound curve </w:t>
      </w:r>
      <w:r w:rsidR="00710010">
        <w:rPr>
          <w:rFonts w:ascii="Segoe UI" w:hAnsi="Segoe UI" w:cs="Segoe UI"/>
          <w:color w:val="000000"/>
          <w:sz w:val="20"/>
          <w:szCs w:val="20"/>
        </w:rPr>
        <w:t>is only slightly delayed relative to the control curve because the compound dissociates rapidly</w:t>
      </w:r>
      <w:r w:rsidR="004B7C70" w:rsidRPr="00AB62AF">
        <w:t xml:space="preserve">. When the RT is longer (60 min, B), there is a clear separation between the curves owing to the slow dissociation of compound </w:t>
      </w:r>
      <w:r w:rsidR="009322C9">
        <w:t xml:space="preserve">which </w:t>
      </w:r>
      <w:r w:rsidR="004B7C70" w:rsidRPr="00AB62AF">
        <w:t>delay</w:t>
      </w:r>
      <w:r w:rsidR="009322C9">
        <w:t>s</w:t>
      </w:r>
      <w:r w:rsidR="004B7C70" w:rsidRPr="00AB62AF">
        <w:t xml:space="preserve"> association of the tracer. Note the compound curve returns to the same level of binding as the control given enough time (at the plateau) – at this point all compound has dissociated so all </w:t>
      </w:r>
      <w:r w:rsidR="009322C9">
        <w:t>target</w:t>
      </w:r>
      <w:r w:rsidR="004B7C70" w:rsidRPr="00AB62AF">
        <w:t xml:space="preserve">s are free to bind the tracer. When the RT is long relative to the timeframe of the assay (3 </w:t>
      </w:r>
      <w:proofErr w:type="spellStart"/>
      <w:r w:rsidR="004B7C70" w:rsidRPr="00AB62AF">
        <w:t>hr</w:t>
      </w:r>
      <w:proofErr w:type="spellEnd"/>
      <w:r w:rsidR="004B7C70" w:rsidRPr="00AB62AF">
        <w:t xml:space="preserve"> RT, C), the curve increases slowly and the plateau is not well defined. This can be handled in the data analysis by fixing the plateau to that of the control (Box 6). When the RT is exceptionally long (36 </w:t>
      </w:r>
      <w:proofErr w:type="spellStart"/>
      <w:r w:rsidR="004B7C70" w:rsidRPr="00AB62AF">
        <w:t>hr</w:t>
      </w:r>
      <w:proofErr w:type="spellEnd"/>
      <w:r w:rsidR="004B7C70" w:rsidRPr="00AB62AF">
        <w:t>, D), the curve effectively plateaus at a much lower level than the control. In this case, the only available targets are those 20% free at the end of the compound pre-incubation.</w:t>
      </w:r>
      <w:r w:rsidR="004B7C70">
        <w:t xml:space="preserve"> D</w:t>
      </w:r>
      <w:r w:rsidR="004B7C70" w:rsidRPr="00F9224E">
        <w:t xml:space="preserve">ata points are the mean </w:t>
      </w:r>
      <w:r w:rsidR="004B7C70" w:rsidRPr="00F9224E">
        <w:sym w:font="Symbol" w:char="F0B1"/>
      </w:r>
      <w:r w:rsidR="004B7C70" w:rsidRPr="00F9224E">
        <w:t xml:space="preserve"> SEM of two technical replicates</w:t>
      </w:r>
      <w:r w:rsidR="004B7C70">
        <w:t>.</w:t>
      </w:r>
    </w:p>
    <w:p w14:paraId="49468C71" w14:textId="77777777" w:rsidR="004B7C70" w:rsidRDefault="004B7C70" w:rsidP="002F04BA"/>
    <w:p w14:paraId="5F39093B" w14:textId="77777777" w:rsidR="00534E94" w:rsidRDefault="00534E94" w:rsidP="004B7C70">
      <w:pPr>
        <w:jc w:val="center"/>
        <w:rPr>
          <w:noProof/>
        </w:rPr>
      </w:pPr>
    </w:p>
    <w:p w14:paraId="2A23F3CD" w14:textId="77777777" w:rsidR="00534E94" w:rsidRDefault="00534E94" w:rsidP="004B7C70">
      <w:pPr>
        <w:jc w:val="center"/>
        <w:rPr>
          <w:noProof/>
        </w:rPr>
      </w:pPr>
    </w:p>
    <w:p w14:paraId="404CD15F" w14:textId="77777777" w:rsidR="00534E94" w:rsidRDefault="00534E94" w:rsidP="004B7C70">
      <w:pPr>
        <w:jc w:val="center"/>
        <w:rPr>
          <w:noProof/>
        </w:rPr>
      </w:pPr>
    </w:p>
    <w:p w14:paraId="5E08F171" w14:textId="544E9D88" w:rsidR="00534E94" w:rsidRDefault="00C02E66" w:rsidP="00BE01EC">
      <w:pPr>
        <w:pStyle w:val="Figuregraphic"/>
        <w:rPr>
          <w:noProof/>
        </w:rPr>
      </w:pPr>
      <w:r>
        <w:rPr>
          <w:noProof/>
        </w:rPr>
        <w:drawing>
          <wp:inline distT="0" distB="0" distL="0" distR="0" wp14:anchorId="66FE4285" wp14:editId="7A4C05A4">
            <wp:extent cx="4660392" cy="3107436"/>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 13 incomplete washout.jpg"/>
                    <pic:cNvPicPr/>
                  </pic:nvPicPr>
                  <pic:blipFill>
                    <a:blip r:embed="rId55">
                      <a:extLst>
                        <a:ext uri="{28A0092B-C50C-407E-A947-70E740481C1C}">
                          <a14:useLocalDpi xmlns:a14="http://schemas.microsoft.com/office/drawing/2010/main" val="0"/>
                        </a:ext>
                      </a:extLst>
                    </a:blip>
                    <a:stretch>
                      <a:fillRect/>
                    </a:stretch>
                  </pic:blipFill>
                  <pic:spPr>
                    <a:xfrm>
                      <a:off x="0" y="0"/>
                      <a:ext cx="4660392" cy="3107436"/>
                    </a:xfrm>
                    <a:prstGeom prst="rect">
                      <a:avLst/>
                    </a:prstGeom>
                  </pic:spPr>
                </pic:pic>
              </a:graphicData>
            </a:graphic>
          </wp:inline>
        </w:drawing>
      </w:r>
    </w:p>
    <w:p w14:paraId="6FF7CD89" w14:textId="5C13C92A" w:rsidR="004B7C70" w:rsidRDefault="004B7C70" w:rsidP="004B7C70">
      <w:pPr>
        <w:jc w:val="center"/>
      </w:pPr>
    </w:p>
    <w:p w14:paraId="1094FAFB" w14:textId="3AC276CF" w:rsidR="004B7C70" w:rsidRPr="009551A3" w:rsidRDefault="00900795" w:rsidP="00BE01EC">
      <w:pPr>
        <w:pStyle w:val="Figurenumberandcaption"/>
      </w:pPr>
      <w:r>
        <w:rPr>
          <w:b/>
          <w:bCs/>
        </w:rPr>
        <w:t>Figure</w:t>
      </w:r>
      <w:r w:rsidR="004B7C70" w:rsidRPr="009551A3">
        <w:rPr>
          <w:b/>
          <w:bCs/>
        </w:rPr>
        <w:t xml:space="preserve"> 13.</w:t>
      </w:r>
      <w:r w:rsidR="004B7C70" w:rsidRPr="009551A3">
        <w:t xml:space="preserve"> False positive long residence time resulting from incomplete washout in the kinetic washout assay. Kinetic washout experiments assume there is no free compound remaining after the washout step, meaning the delay of tracer association results solely from pre-bound compound-ligand complexes needing to dissociate before trace</w:t>
      </w:r>
      <w:r w:rsidR="004B7C70">
        <w:t>r</w:t>
      </w:r>
      <w:r w:rsidR="004B7C70" w:rsidRPr="009551A3">
        <w:t xml:space="preserve"> can bind. However, if washout is inefficient, residual compound can also delay tracer binding, by simple competition binding. This can give the false impression of a long RT for the compound. Here a worse-case scenario is given. A short RT compound (6 min) is dosed at a very high concentration in the pre-incubation step (1,000 </w:t>
      </w:r>
      <w:proofErr w:type="spellStart"/>
      <w:r w:rsidR="004B7C70" w:rsidRPr="009551A3">
        <w:t>nM</w:t>
      </w:r>
      <w:proofErr w:type="spellEnd"/>
      <w:r w:rsidR="004B7C70" w:rsidRPr="009551A3">
        <w:t xml:space="preserve">, 100-fold higher than the compound’s </w:t>
      </w:r>
      <w:proofErr w:type="spellStart"/>
      <w:proofErr w:type="gramStart"/>
      <w:r w:rsidR="004B7C70" w:rsidRPr="009551A3">
        <w:rPr>
          <w:i/>
          <w:iCs/>
        </w:rPr>
        <w:t>K</w:t>
      </w:r>
      <w:r w:rsidR="004B7C70" w:rsidRPr="009551A3">
        <w:rPr>
          <w:vertAlign w:val="subscript"/>
        </w:rPr>
        <w:t>d</w:t>
      </w:r>
      <w:proofErr w:type="spellEnd"/>
      <w:proofErr w:type="gramEnd"/>
      <w:r w:rsidR="004B7C70" w:rsidRPr="009551A3">
        <w:t xml:space="preserve"> of 10 </w:t>
      </w:r>
      <w:proofErr w:type="spellStart"/>
      <w:r w:rsidR="004B7C70" w:rsidRPr="009551A3">
        <w:lastRenderedPageBreak/>
        <w:t>nM</w:t>
      </w:r>
      <w:proofErr w:type="spellEnd"/>
      <w:r w:rsidR="004B7C70" w:rsidRPr="009551A3">
        <w:t xml:space="preserve">). Then an inefficient wash is performed, such that 10% of the compound remains in the well, giving a 100 </w:t>
      </w:r>
      <w:proofErr w:type="spellStart"/>
      <w:r w:rsidR="004B7C70" w:rsidRPr="009551A3">
        <w:t>nM</w:t>
      </w:r>
      <w:proofErr w:type="spellEnd"/>
      <w:r w:rsidR="004B7C70" w:rsidRPr="009551A3">
        <w:t xml:space="preserve"> concentration when the tracer is added. This concentration, </w:t>
      </w:r>
      <w:r w:rsidR="004B7C70">
        <w:t>which is</w:t>
      </w:r>
      <w:r w:rsidR="004B7C70" w:rsidRPr="009551A3">
        <w:t xml:space="preserve"> 10-fold above the </w:t>
      </w:r>
      <w:proofErr w:type="spellStart"/>
      <w:proofErr w:type="gramStart"/>
      <w:r w:rsidR="004B7C70" w:rsidRPr="009551A3">
        <w:rPr>
          <w:i/>
          <w:iCs/>
        </w:rPr>
        <w:t>K</w:t>
      </w:r>
      <w:r w:rsidR="004B7C70" w:rsidRPr="009551A3">
        <w:rPr>
          <w:vertAlign w:val="subscript"/>
        </w:rPr>
        <w:t>d</w:t>
      </w:r>
      <w:proofErr w:type="spellEnd"/>
      <w:proofErr w:type="gramEnd"/>
      <w:r w:rsidR="004B7C70" w:rsidRPr="009551A3">
        <w:t xml:space="preserve">, can easily outcompete the tracer, resulting in inhibition of tracer binding (red squares). The data closely match those for a long RT compound (36 </w:t>
      </w:r>
      <w:proofErr w:type="spellStart"/>
      <w:r w:rsidR="004B7C70" w:rsidRPr="009551A3">
        <w:t>hr</w:t>
      </w:r>
      <w:proofErr w:type="spellEnd"/>
      <w:r w:rsidR="004B7C70" w:rsidRPr="009551A3">
        <w:t xml:space="preserve">) that is dosed correctly (4X </w:t>
      </w:r>
      <w:proofErr w:type="spellStart"/>
      <w:proofErr w:type="gramStart"/>
      <w:r w:rsidR="004B7C70" w:rsidRPr="009551A3">
        <w:rPr>
          <w:i/>
          <w:iCs/>
        </w:rPr>
        <w:t>K</w:t>
      </w:r>
      <w:r w:rsidR="004B7C70" w:rsidRPr="009551A3">
        <w:rPr>
          <w:vertAlign w:val="subscript"/>
        </w:rPr>
        <w:t>d</w:t>
      </w:r>
      <w:proofErr w:type="spellEnd"/>
      <w:proofErr w:type="gramEnd"/>
      <w:r w:rsidR="004B7C70" w:rsidRPr="009551A3">
        <w:t xml:space="preserve">) and completely washed out (blue diamonds). Consequently, a short RT compound erroneously appears like a long RT compound. Analysis using the kinetic washout equation (Eq. </w:t>
      </w:r>
      <w:r w:rsidR="004B7C70">
        <w:t>8</w:t>
      </w:r>
      <w:r w:rsidR="004B7C70" w:rsidRPr="009551A3">
        <w:t xml:space="preserve">) gives an RT of 10 </w:t>
      </w:r>
      <w:proofErr w:type="spellStart"/>
      <w:r w:rsidR="004B7C70" w:rsidRPr="009551A3">
        <w:t>hr</w:t>
      </w:r>
      <w:proofErr w:type="spellEnd"/>
      <w:r w:rsidR="004B7C70" w:rsidRPr="009551A3">
        <w:t>, radically different from the actual RT of 6 min. See text for simulation and fit details.</w:t>
      </w:r>
      <w:r w:rsidR="004B7C70">
        <w:t xml:space="preserve"> D</w:t>
      </w:r>
      <w:r w:rsidR="004B7C70" w:rsidRPr="00F9224E">
        <w:t xml:space="preserve">ata points are the mean </w:t>
      </w:r>
      <w:r w:rsidR="004B7C70" w:rsidRPr="00F9224E">
        <w:sym w:font="Symbol" w:char="F0B1"/>
      </w:r>
      <w:r w:rsidR="004B7C70" w:rsidRPr="00F9224E">
        <w:t xml:space="preserve"> SEM of two technical replicates</w:t>
      </w:r>
      <w:r w:rsidR="004B7C70">
        <w:t>.</w:t>
      </w:r>
    </w:p>
    <w:p w14:paraId="3E6D2C8D" w14:textId="77777777" w:rsidR="004B7C70" w:rsidRDefault="004B7C70" w:rsidP="004B7C70"/>
    <w:p w14:paraId="1C059718" w14:textId="77777777" w:rsidR="00740D3A" w:rsidRDefault="00740D3A" w:rsidP="004B7C70">
      <w:pPr>
        <w:rPr>
          <w:noProof/>
        </w:rPr>
      </w:pPr>
    </w:p>
    <w:p w14:paraId="1D822F4A" w14:textId="77777777" w:rsidR="00740D3A" w:rsidRDefault="00740D3A" w:rsidP="004B7C70">
      <w:pPr>
        <w:rPr>
          <w:noProof/>
        </w:rPr>
      </w:pPr>
    </w:p>
    <w:p w14:paraId="265CECDF" w14:textId="77777777" w:rsidR="00740D3A" w:rsidRDefault="00740D3A" w:rsidP="004B7C70">
      <w:pPr>
        <w:rPr>
          <w:noProof/>
        </w:rPr>
      </w:pPr>
    </w:p>
    <w:p w14:paraId="55F7E952" w14:textId="77777777" w:rsidR="00740D3A" w:rsidRDefault="00740D3A" w:rsidP="004B7C70">
      <w:pPr>
        <w:rPr>
          <w:noProof/>
        </w:rPr>
      </w:pPr>
    </w:p>
    <w:p w14:paraId="22BEE57A" w14:textId="3BF58E37" w:rsidR="00740D3A" w:rsidRDefault="00C02E66" w:rsidP="00BE01EC">
      <w:pPr>
        <w:pStyle w:val="Figuregraphic"/>
        <w:rPr>
          <w:noProof/>
        </w:rPr>
      </w:pPr>
      <w:r>
        <w:rPr>
          <w:noProof/>
        </w:rPr>
        <w:drawing>
          <wp:inline distT="0" distB="0" distL="0" distR="0" wp14:anchorId="565D9CBC" wp14:editId="3FBEE503">
            <wp:extent cx="5943600" cy="28276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 14 two state binding kinetic data.jpg"/>
                    <pic:cNvPicPr/>
                  </pic:nvPicPr>
                  <pic:blipFill>
                    <a:blip r:embed="rId56">
                      <a:extLst>
                        <a:ext uri="{28A0092B-C50C-407E-A947-70E740481C1C}">
                          <a14:useLocalDpi xmlns:a14="http://schemas.microsoft.com/office/drawing/2010/main" val="0"/>
                        </a:ext>
                      </a:extLst>
                    </a:blip>
                    <a:stretch>
                      <a:fillRect/>
                    </a:stretch>
                  </pic:blipFill>
                  <pic:spPr>
                    <a:xfrm>
                      <a:off x="0" y="0"/>
                      <a:ext cx="5943600" cy="2827655"/>
                    </a:xfrm>
                    <a:prstGeom prst="rect">
                      <a:avLst/>
                    </a:prstGeom>
                  </pic:spPr>
                </pic:pic>
              </a:graphicData>
            </a:graphic>
          </wp:inline>
        </w:drawing>
      </w:r>
    </w:p>
    <w:p w14:paraId="1CDED090" w14:textId="77777777" w:rsidR="004B7C70" w:rsidRDefault="004B7C70" w:rsidP="004B7C70"/>
    <w:p w14:paraId="2AF3EB1F" w14:textId="1D5BE2BD" w:rsidR="004B7C70" w:rsidRPr="00BA6E72" w:rsidRDefault="00900795" w:rsidP="00BE01EC">
      <w:pPr>
        <w:pStyle w:val="Figurenumberandcaption"/>
      </w:pPr>
      <w:r>
        <w:rPr>
          <w:b/>
          <w:bCs/>
        </w:rPr>
        <w:t>Figure</w:t>
      </w:r>
      <w:r w:rsidR="004B7C70" w:rsidRPr="00BA6E72">
        <w:rPr>
          <w:b/>
          <w:bCs/>
        </w:rPr>
        <w:t xml:space="preserve"> 14.</w:t>
      </w:r>
      <w:r w:rsidR="004B7C70" w:rsidRPr="00BA6E72">
        <w:t xml:space="preserve"> Two conformational states of the target – binding kinetic data. Here there are two states of the target, which bind the ligand with different kinetics. Note the biphasic curves – there is an initial burst, followed by a slower phase of binding. Solid lines are fits to biphasic association (A) or dissociation (B) equations (see ref </w:t>
      </w:r>
      <w:r w:rsidR="004B7C70">
        <w:t>(62)</w:t>
      </w:r>
      <w:r w:rsidR="004B7C70" w:rsidRPr="00BA6E72">
        <w:t xml:space="preserve">). The dashed line is the fit to the standard single-state exponential equations – note this provides a poor fit to the data. Data were simulated for a two-state mechanism (see </w:t>
      </w:r>
      <w:hyperlink w:anchor="_Two_Conformational_States" w:history="1">
        <w:r w:rsidR="00133E9D" w:rsidRPr="00133E9D">
          <w:rPr>
            <w:rStyle w:val="Hyperlink"/>
            <w:sz w:val="20"/>
          </w:rPr>
          <w:t>Two Conformational States Mechanism</w:t>
        </w:r>
      </w:hyperlink>
      <w:r w:rsidR="004B7C70" w:rsidRPr="00BA6E72">
        <w:t>) with following parameter values:</w:t>
      </w:r>
      <w:bookmarkStart w:id="35" w:name="Slide_Number_20"/>
      <w:bookmarkEnd w:id="35"/>
      <w:r w:rsidR="00DA2B7E" w:rsidRPr="00DA2B7E">
        <w:rPr>
          <w:rFonts w:ascii="Arial" w:hAnsi="Arial" w:cs="Arial"/>
          <w:i/>
          <w:iCs/>
          <w:sz w:val="28"/>
          <w:szCs w:val="28"/>
        </w:rPr>
        <w:t xml:space="preserve"> </w:t>
      </w:r>
      <w:r w:rsidR="00DA2B7E" w:rsidRPr="00414DD9">
        <w:rPr>
          <w:rFonts w:ascii="Arial" w:hAnsi="Arial" w:cs="Arial"/>
          <w:i/>
          <w:iCs/>
          <w:sz w:val="28"/>
          <w:szCs w:val="28"/>
        </w:rPr>
        <w:t>k</w:t>
      </w:r>
      <w:r w:rsidR="00DA2B7E" w:rsidRPr="00414DD9">
        <w:rPr>
          <w:rFonts w:ascii="Arial" w:hAnsi="Arial" w:cs="Arial"/>
          <w:position w:val="-8"/>
          <w:sz w:val="18"/>
          <w:szCs w:val="18"/>
        </w:rPr>
        <w:t>1</w:t>
      </w:r>
      <w:r w:rsidR="00DA2B7E" w:rsidRPr="00414DD9">
        <w:rPr>
          <w:rFonts w:ascii="Arial" w:hAnsi="Arial" w:cs="Arial"/>
          <w:i/>
          <w:iCs/>
          <w:position w:val="-8"/>
          <w:sz w:val="18"/>
          <w:szCs w:val="18"/>
        </w:rPr>
        <w:t>A</w:t>
      </w:r>
      <w:r w:rsidR="00DA2B7E" w:rsidRPr="00414DD9">
        <w:rPr>
          <w:rFonts w:ascii="Arial" w:hAnsi="Arial" w:cs="Arial"/>
          <w:sz w:val="28"/>
          <w:szCs w:val="28"/>
        </w:rPr>
        <w:t>, 1.0</w:t>
      </w:r>
      <w:r w:rsidR="00DA2B7E" w:rsidRPr="00414DD9">
        <w:rPr>
          <w:rFonts w:ascii="Arial" w:hAnsi="Arial" w:cs="Arial"/>
          <w:spacing w:val="-6"/>
          <w:sz w:val="28"/>
          <w:szCs w:val="28"/>
        </w:rPr>
        <w:t xml:space="preserve"> </w:t>
      </w:r>
      <w:r w:rsidR="00DA2B7E" w:rsidRPr="00414DD9">
        <w:rPr>
          <w:rFonts w:ascii="Symbol" w:hAnsi="Symbol" w:cs="Symbol"/>
          <w:sz w:val="28"/>
          <w:szCs w:val="28"/>
        </w:rPr>
        <w:t></w:t>
      </w:r>
      <w:r w:rsidR="00DA2B7E" w:rsidRPr="00414DD9">
        <w:rPr>
          <w:rFonts w:ascii="Times New Roman" w:hAnsi="Times New Roman" w:cs="Times New Roman"/>
          <w:spacing w:val="-9"/>
          <w:sz w:val="28"/>
          <w:szCs w:val="28"/>
        </w:rPr>
        <w:t xml:space="preserve"> </w:t>
      </w:r>
      <w:r w:rsidR="00DA2B7E" w:rsidRPr="00414DD9">
        <w:rPr>
          <w:rFonts w:ascii="Calibri" w:hAnsi="Calibri" w:cs="Calibri"/>
          <w:sz w:val="28"/>
          <w:szCs w:val="28"/>
        </w:rPr>
        <w:t>10</w:t>
      </w:r>
      <w:r w:rsidR="00DA2B7E" w:rsidRPr="00414DD9">
        <w:rPr>
          <w:rFonts w:ascii="Calibri" w:hAnsi="Calibri" w:cs="Calibri"/>
          <w:sz w:val="28"/>
          <w:szCs w:val="28"/>
          <w:vertAlign w:val="superscript"/>
        </w:rPr>
        <w:t>8</w:t>
      </w:r>
      <w:r w:rsidR="00DA2B7E" w:rsidRPr="00414DD9">
        <w:rPr>
          <w:rFonts w:ascii="Calibri" w:hAnsi="Calibri" w:cs="Calibri"/>
          <w:sz w:val="28"/>
          <w:szCs w:val="28"/>
        </w:rPr>
        <w:t xml:space="preserve"> M</w:t>
      </w:r>
      <w:r w:rsidR="00DA2B7E" w:rsidRPr="00414DD9">
        <w:rPr>
          <w:rFonts w:ascii="Calibri" w:hAnsi="Calibri" w:cs="Calibri"/>
          <w:sz w:val="28"/>
          <w:szCs w:val="28"/>
          <w:vertAlign w:val="superscript"/>
        </w:rPr>
        <w:t>-1</w:t>
      </w:r>
      <w:r w:rsidR="00DA2B7E" w:rsidRPr="00414DD9">
        <w:rPr>
          <w:rFonts w:ascii="Calibri" w:hAnsi="Calibri" w:cs="Calibri"/>
          <w:sz w:val="28"/>
          <w:szCs w:val="28"/>
        </w:rPr>
        <w:t>min</w:t>
      </w:r>
      <w:r w:rsidR="00DA2B7E" w:rsidRPr="00414DD9">
        <w:rPr>
          <w:rFonts w:ascii="Calibri" w:hAnsi="Calibri" w:cs="Calibri"/>
          <w:sz w:val="28"/>
          <w:szCs w:val="28"/>
          <w:vertAlign w:val="superscript"/>
        </w:rPr>
        <w:t>-1</w:t>
      </w:r>
      <w:r w:rsidR="00DA2B7E" w:rsidRPr="00414DD9">
        <w:rPr>
          <w:rFonts w:ascii="Calibri" w:hAnsi="Calibri" w:cs="Calibri"/>
          <w:sz w:val="28"/>
          <w:szCs w:val="28"/>
        </w:rPr>
        <w:t xml:space="preserve"> ;</w:t>
      </w:r>
      <w:r w:rsidR="00DA2B7E" w:rsidRPr="00414DD9">
        <w:rPr>
          <w:rFonts w:ascii="Calibri" w:hAnsi="Calibri" w:cs="Calibri"/>
          <w:spacing w:val="-2"/>
          <w:sz w:val="28"/>
          <w:szCs w:val="28"/>
        </w:rPr>
        <w:t xml:space="preserve"> </w:t>
      </w:r>
      <w:r w:rsidR="00DA2B7E" w:rsidRPr="00414DD9">
        <w:rPr>
          <w:rFonts w:ascii="Calibri" w:hAnsi="Calibri" w:cs="Calibri"/>
          <w:i/>
          <w:iCs/>
          <w:sz w:val="28"/>
          <w:szCs w:val="28"/>
        </w:rPr>
        <w:t>k</w:t>
      </w:r>
      <w:r w:rsidR="00DA2B7E" w:rsidRPr="00414DD9">
        <w:rPr>
          <w:rFonts w:ascii="Calibri" w:hAnsi="Calibri" w:cs="Calibri"/>
          <w:position w:val="-8"/>
          <w:sz w:val="18"/>
          <w:szCs w:val="18"/>
        </w:rPr>
        <w:t>2</w:t>
      </w:r>
      <w:r w:rsidR="00DA2B7E" w:rsidRPr="00414DD9">
        <w:rPr>
          <w:rFonts w:ascii="Calibri" w:hAnsi="Calibri" w:cs="Calibri"/>
          <w:i/>
          <w:iCs/>
          <w:position w:val="-8"/>
          <w:sz w:val="18"/>
          <w:szCs w:val="18"/>
        </w:rPr>
        <w:t>A</w:t>
      </w:r>
      <w:r w:rsidR="00DA2B7E" w:rsidRPr="00414DD9">
        <w:rPr>
          <w:rFonts w:ascii="Calibri" w:hAnsi="Calibri" w:cs="Calibri"/>
          <w:sz w:val="28"/>
          <w:szCs w:val="28"/>
        </w:rPr>
        <w:t>,</w:t>
      </w:r>
      <w:r w:rsidR="00DA2B7E" w:rsidRPr="00414DD9">
        <w:rPr>
          <w:rFonts w:ascii="Calibri" w:hAnsi="Calibri" w:cs="Calibri"/>
          <w:spacing w:val="-2"/>
          <w:sz w:val="28"/>
          <w:szCs w:val="28"/>
        </w:rPr>
        <w:t xml:space="preserve"> </w:t>
      </w:r>
      <w:r w:rsidR="00DA2B7E" w:rsidRPr="00414DD9">
        <w:rPr>
          <w:rFonts w:ascii="Calibri" w:hAnsi="Calibri" w:cs="Calibri"/>
          <w:sz w:val="28"/>
          <w:szCs w:val="28"/>
        </w:rPr>
        <w:t>0.1</w:t>
      </w:r>
      <w:r w:rsidR="00DA2B7E" w:rsidRPr="00414DD9">
        <w:rPr>
          <w:rFonts w:ascii="Calibri" w:hAnsi="Calibri" w:cs="Calibri"/>
          <w:spacing w:val="-2"/>
          <w:sz w:val="28"/>
          <w:szCs w:val="28"/>
        </w:rPr>
        <w:t xml:space="preserve"> </w:t>
      </w:r>
      <w:r w:rsidR="00DA2B7E" w:rsidRPr="00414DD9">
        <w:rPr>
          <w:rFonts w:ascii="Calibri" w:hAnsi="Calibri" w:cs="Calibri"/>
          <w:sz w:val="28"/>
          <w:szCs w:val="28"/>
        </w:rPr>
        <w:t>min</w:t>
      </w:r>
      <w:r w:rsidR="00DA2B7E" w:rsidRPr="00414DD9">
        <w:rPr>
          <w:rFonts w:ascii="Calibri" w:hAnsi="Calibri" w:cs="Calibri"/>
          <w:sz w:val="28"/>
          <w:szCs w:val="28"/>
          <w:vertAlign w:val="superscript"/>
        </w:rPr>
        <w:t>-1</w:t>
      </w:r>
      <w:r w:rsidR="00DA2B7E" w:rsidRPr="00414DD9">
        <w:rPr>
          <w:rFonts w:ascii="Calibri" w:hAnsi="Calibri" w:cs="Calibri"/>
          <w:sz w:val="28"/>
          <w:szCs w:val="28"/>
        </w:rPr>
        <w:t>;</w:t>
      </w:r>
      <w:r w:rsidR="00DA2B7E" w:rsidRPr="00414DD9">
        <w:rPr>
          <w:rFonts w:ascii="Calibri" w:hAnsi="Calibri" w:cs="Calibri"/>
          <w:spacing w:val="-2"/>
          <w:sz w:val="28"/>
          <w:szCs w:val="28"/>
        </w:rPr>
        <w:t xml:space="preserve"> </w:t>
      </w:r>
      <w:r w:rsidR="00DA2B7E" w:rsidRPr="00414DD9">
        <w:rPr>
          <w:rFonts w:ascii="Calibri" w:hAnsi="Calibri" w:cs="Calibri"/>
          <w:i/>
          <w:iCs/>
          <w:sz w:val="28"/>
          <w:szCs w:val="28"/>
        </w:rPr>
        <w:t>K</w:t>
      </w:r>
      <w:r w:rsidR="00DA2B7E" w:rsidRPr="00414DD9">
        <w:rPr>
          <w:rFonts w:ascii="Calibri" w:hAnsi="Calibri" w:cs="Calibri"/>
          <w:position w:val="-8"/>
          <w:sz w:val="18"/>
          <w:szCs w:val="18"/>
        </w:rPr>
        <w:t>1</w:t>
      </w:r>
      <w:r w:rsidR="00DA2B7E" w:rsidRPr="00414DD9">
        <w:rPr>
          <w:rFonts w:ascii="Calibri" w:hAnsi="Calibri" w:cs="Calibri"/>
          <w:i/>
          <w:iCs/>
          <w:position w:val="-8"/>
          <w:sz w:val="18"/>
          <w:szCs w:val="18"/>
        </w:rPr>
        <w:t>B</w:t>
      </w:r>
      <w:r w:rsidR="00DA2B7E" w:rsidRPr="00414DD9">
        <w:rPr>
          <w:rFonts w:ascii="Calibri" w:hAnsi="Calibri" w:cs="Calibri"/>
          <w:sz w:val="28"/>
          <w:szCs w:val="28"/>
        </w:rPr>
        <w:t>,</w:t>
      </w:r>
      <w:r w:rsidR="00DA2B7E" w:rsidRPr="00414DD9">
        <w:rPr>
          <w:rFonts w:ascii="Calibri" w:hAnsi="Calibri" w:cs="Calibri"/>
          <w:spacing w:val="-2"/>
          <w:sz w:val="28"/>
          <w:szCs w:val="28"/>
        </w:rPr>
        <w:t xml:space="preserve"> </w:t>
      </w:r>
      <w:r w:rsidR="00DA2B7E" w:rsidRPr="00414DD9">
        <w:rPr>
          <w:rFonts w:ascii="Calibri" w:hAnsi="Calibri" w:cs="Calibri"/>
          <w:sz w:val="28"/>
          <w:szCs w:val="28"/>
        </w:rPr>
        <w:t>1.0</w:t>
      </w:r>
      <w:r w:rsidR="00DA2B7E" w:rsidRPr="00414DD9">
        <w:rPr>
          <w:rFonts w:ascii="Calibri" w:hAnsi="Calibri" w:cs="Calibri"/>
          <w:spacing w:val="-2"/>
          <w:sz w:val="28"/>
          <w:szCs w:val="28"/>
        </w:rPr>
        <w:t xml:space="preserve"> </w:t>
      </w:r>
      <w:r w:rsidR="00DA2B7E" w:rsidRPr="00414DD9">
        <w:rPr>
          <w:rFonts w:ascii="Symbol" w:hAnsi="Symbol" w:cs="Symbol"/>
          <w:sz w:val="28"/>
          <w:szCs w:val="28"/>
        </w:rPr>
        <w:t></w:t>
      </w:r>
      <w:r w:rsidR="00DA2B7E" w:rsidRPr="00414DD9">
        <w:rPr>
          <w:rFonts w:ascii="Times New Roman" w:hAnsi="Times New Roman" w:cs="Times New Roman"/>
          <w:spacing w:val="-11"/>
          <w:sz w:val="28"/>
          <w:szCs w:val="28"/>
        </w:rPr>
        <w:t xml:space="preserve"> </w:t>
      </w:r>
      <w:r w:rsidR="00DA2B7E" w:rsidRPr="00414DD9">
        <w:rPr>
          <w:rFonts w:ascii="Calibri" w:hAnsi="Calibri" w:cs="Calibri"/>
          <w:sz w:val="28"/>
          <w:szCs w:val="28"/>
        </w:rPr>
        <w:t>10</w:t>
      </w:r>
      <w:r w:rsidR="00DA2B7E" w:rsidRPr="00414DD9">
        <w:rPr>
          <w:rFonts w:ascii="Calibri" w:hAnsi="Calibri" w:cs="Calibri"/>
          <w:sz w:val="28"/>
          <w:szCs w:val="28"/>
          <w:vertAlign w:val="superscript"/>
        </w:rPr>
        <w:t>7</w:t>
      </w:r>
      <w:r w:rsidR="00DA2B7E" w:rsidRPr="00414DD9">
        <w:rPr>
          <w:rFonts w:ascii="Calibri" w:hAnsi="Calibri" w:cs="Calibri"/>
          <w:spacing w:val="2"/>
          <w:sz w:val="28"/>
          <w:szCs w:val="28"/>
        </w:rPr>
        <w:t xml:space="preserve"> </w:t>
      </w:r>
      <w:r w:rsidR="00DA2B7E" w:rsidRPr="00414DD9">
        <w:rPr>
          <w:rFonts w:ascii="Calibri" w:hAnsi="Calibri" w:cs="Calibri"/>
          <w:sz w:val="28"/>
          <w:szCs w:val="28"/>
        </w:rPr>
        <w:t>M</w:t>
      </w:r>
      <w:r w:rsidR="00DA2B7E" w:rsidRPr="00414DD9">
        <w:rPr>
          <w:rFonts w:ascii="Calibri" w:hAnsi="Calibri" w:cs="Calibri"/>
          <w:sz w:val="28"/>
          <w:szCs w:val="28"/>
          <w:vertAlign w:val="superscript"/>
        </w:rPr>
        <w:t>-1</w:t>
      </w:r>
      <w:r w:rsidR="00DA2B7E" w:rsidRPr="00414DD9">
        <w:rPr>
          <w:rFonts w:ascii="Calibri" w:hAnsi="Calibri" w:cs="Calibri"/>
          <w:sz w:val="28"/>
          <w:szCs w:val="28"/>
        </w:rPr>
        <w:t>min</w:t>
      </w:r>
      <w:r w:rsidR="00DA2B7E" w:rsidRPr="00414DD9">
        <w:rPr>
          <w:rFonts w:ascii="Calibri" w:hAnsi="Calibri" w:cs="Calibri"/>
          <w:sz w:val="28"/>
          <w:szCs w:val="28"/>
          <w:vertAlign w:val="superscript"/>
        </w:rPr>
        <w:t>-1</w:t>
      </w:r>
      <w:r w:rsidR="00DA2B7E" w:rsidRPr="00414DD9">
        <w:rPr>
          <w:rFonts w:ascii="Calibri" w:hAnsi="Calibri" w:cs="Calibri"/>
          <w:spacing w:val="-3"/>
          <w:sz w:val="28"/>
          <w:szCs w:val="28"/>
        </w:rPr>
        <w:t xml:space="preserve"> </w:t>
      </w:r>
      <w:r w:rsidR="00DA2B7E" w:rsidRPr="00414DD9">
        <w:rPr>
          <w:rFonts w:ascii="Calibri" w:hAnsi="Calibri" w:cs="Calibri"/>
          <w:sz w:val="28"/>
          <w:szCs w:val="28"/>
        </w:rPr>
        <w:t>;</w:t>
      </w:r>
      <w:r w:rsidR="00DA2B7E" w:rsidRPr="00414DD9">
        <w:rPr>
          <w:rFonts w:ascii="Calibri" w:hAnsi="Calibri" w:cs="Calibri"/>
          <w:spacing w:val="-2"/>
          <w:sz w:val="28"/>
          <w:szCs w:val="28"/>
        </w:rPr>
        <w:t xml:space="preserve"> </w:t>
      </w:r>
      <w:r w:rsidR="00DA2B7E" w:rsidRPr="00414DD9">
        <w:rPr>
          <w:rFonts w:ascii="Calibri" w:hAnsi="Calibri" w:cs="Calibri"/>
          <w:i/>
          <w:iCs/>
          <w:sz w:val="28"/>
          <w:szCs w:val="28"/>
        </w:rPr>
        <w:t>k</w:t>
      </w:r>
      <w:r w:rsidR="00DA2B7E" w:rsidRPr="00414DD9">
        <w:rPr>
          <w:rFonts w:ascii="Calibri" w:hAnsi="Calibri" w:cs="Calibri"/>
          <w:position w:val="-8"/>
          <w:sz w:val="18"/>
          <w:szCs w:val="18"/>
        </w:rPr>
        <w:t>2</w:t>
      </w:r>
      <w:r w:rsidR="00DA2B7E" w:rsidRPr="00414DD9">
        <w:rPr>
          <w:rFonts w:ascii="Calibri" w:hAnsi="Calibri" w:cs="Calibri"/>
          <w:i/>
          <w:iCs/>
          <w:position w:val="-8"/>
          <w:sz w:val="18"/>
          <w:szCs w:val="18"/>
        </w:rPr>
        <w:t>B</w:t>
      </w:r>
      <w:r w:rsidR="00DA2B7E" w:rsidRPr="00414DD9">
        <w:rPr>
          <w:rFonts w:ascii="Calibri" w:hAnsi="Calibri" w:cs="Calibri"/>
          <w:sz w:val="28"/>
          <w:szCs w:val="28"/>
        </w:rPr>
        <w:t>,</w:t>
      </w:r>
      <w:r w:rsidR="00DA2B7E" w:rsidRPr="00414DD9">
        <w:rPr>
          <w:rFonts w:ascii="Calibri" w:hAnsi="Calibri" w:cs="Calibri"/>
          <w:spacing w:val="1"/>
          <w:sz w:val="28"/>
          <w:szCs w:val="28"/>
        </w:rPr>
        <w:t xml:space="preserve"> </w:t>
      </w:r>
      <w:r w:rsidR="00DA2B7E" w:rsidRPr="00414DD9">
        <w:rPr>
          <w:rFonts w:ascii="Calibri" w:hAnsi="Calibri" w:cs="Calibri"/>
          <w:sz w:val="28"/>
          <w:szCs w:val="28"/>
        </w:rPr>
        <w:t>0.01</w:t>
      </w:r>
      <w:r w:rsidR="00DA2B7E" w:rsidRPr="00414DD9">
        <w:rPr>
          <w:rFonts w:ascii="Calibri" w:hAnsi="Calibri" w:cs="Calibri"/>
          <w:spacing w:val="-2"/>
          <w:sz w:val="28"/>
          <w:szCs w:val="28"/>
        </w:rPr>
        <w:t xml:space="preserve"> </w:t>
      </w:r>
      <w:r w:rsidR="00DA2B7E" w:rsidRPr="00414DD9">
        <w:rPr>
          <w:rFonts w:ascii="Calibri" w:hAnsi="Calibri" w:cs="Calibri"/>
          <w:sz w:val="28"/>
          <w:szCs w:val="28"/>
        </w:rPr>
        <w:t>min</w:t>
      </w:r>
      <w:r w:rsidR="00DA2B7E" w:rsidRPr="00414DD9">
        <w:rPr>
          <w:rFonts w:ascii="Calibri" w:hAnsi="Calibri" w:cs="Calibri"/>
          <w:sz w:val="28"/>
          <w:szCs w:val="28"/>
          <w:vertAlign w:val="superscript"/>
        </w:rPr>
        <w:t>-1</w:t>
      </w:r>
      <w:r w:rsidR="004B7C70" w:rsidRPr="00BA6E72">
        <w:t xml:space="preserve">; % state A, 70; L, 2 </w:t>
      </w:r>
      <w:proofErr w:type="spellStart"/>
      <w:r w:rsidR="004B7C70" w:rsidRPr="00BA6E72">
        <w:t>nM</w:t>
      </w:r>
      <w:proofErr w:type="spellEnd"/>
      <w:r w:rsidR="004B7C70" w:rsidRPr="00BA6E72">
        <w:t xml:space="preserve">; </w:t>
      </w:r>
      <w:proofErr w:type="spellStart"/>
      <w:r w:rsidR="004B7C70" w:rsidRPr="00BA6E72">
        <w:t>B</w:t>
      </w:r>
      <w:r w:rsidR="004B7C70" w:rsidRPr="00BA6E72">
        <w:rPr>
          <w:vertAlign w:val="subscript"/>
        </w:rPr>
        <w:t>max</w:t>
      </w:r>
      <w:proofErr w:type="spellEnd"/>
      <w:r w:rsidR="004B7C70" w:rsidRPr="00BA6E72">
        <w:t xml:space="preserve">, 37.5 </w:t>
      </w:r>
      <w:r w:rsidR="0045544B">
        <w:t>target</w:t>
      </w:r>
      <w:r w:rsidR="0045544B" w:rsidRPr="00BA6E72">
        <w:t xml:space="preserve"> </w:t>
      </w:r>
      <w:r w:rsidR="004B7C70" w:rsidRPr="00BA6E72">
        <w:t>units.</w:t>
      </w:r>
      <w:r w:rsidR="004B7C70">
        <w:t xml:space="preserve"> D</w:t>
      </w:r>
      <w:r w:rsidR="004B7C70" w:rsidRPr="00F9224E">
        <w:t xml:space="preserve">ata points are the mean </w:t>
      </w:r>
      <w:r w:rsidR="004B7C70" w:rsidRPr="00F9224E">
        <w:sym w:font="Symbol" w:char="F0B1"/>
      </w:r>
      <w:r w:rsidR="004B7C70" w:rsidRPr="00F9224E">
        <w:t xml:space="preserve"> SEM of two technical replicates</w:t>
      </w:r>
      <w:r w:rsidR="004B7C70">
        <w:t>.</w:t>
      </w:r>
    </w:p>
    <w:p w14:paraId="6A8FD0B0" w14:textId="77777777" w:rsidR="004B7C70" w:rsidRDefault="004B7C70" w:rsidP="004B7C70"/>
    <w:p w14:paraId="386A8B3A" w14:textId="094D3B2B" w:rsidR="004B7C70" w:rsidRDefault="00C02E66" w:rsidP="00BE01EC">
      <w:pPr>
        <w:pStyle w:val="Figuregraphic"/>
      </w:pPr>
      <w:r>
        <w:rPr>
          <w:noProof/>
        </w:rPr>
        <w:drawing>
          <wp:inline distT="0" distB="0" distL="0" distR="0" wp14:anchorId="72E39B96" wp14:editId="2B572F33">
            <wp:extent cx="5943600" cy="632079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 15 recovery of agonist responsiveness.jpg"/>
                    <pic:cNvPicPr/>
                  </pic:nvPicPr>
                  <pic:blipFill>
                    <a:blip r:embed="rId57">
                      <a:extLst>
                        <a:ext uri="{28A0092B-C50C-407E-A947-70E740481C1C}">
                          <a14:useLocalDpi xmlns:a14="http://schemas.microsoft.com/office/drawing/2010/main" val="0"/>
                        </a:ext>
                      </a:extLst>
                    </a:blip>
                    <a:stretch>
                      <a:fillRect/>
                    </a:stretch>
                  </pic:blipFill>
                  <pic:spPr>
                    <a:xfrm>
                      <a:off x="0" y="0"/>
                      <a:ext cx="5943600" cy="6320790"/>
                    </a:xfrm>
                    <a:prstGeom prst="rect">
                      <a:avLst/>
                    </a:prstGeom>
                  </pic:spPr>
                </pic:pic>
              </a:graphicData>
            </a:graphic>
          </wp:inline>
        </w:drawing>
      </w:r>
    </w:p>
    <w:p w14:paraId="6A6C09FB" w14:textId="77777777" w:rsidR="004B7C70" w:rsidRDefault="004B7C70" w:rsidP="004B7C70">
      <w:pPr>
        <w:rPr>
          <w:b/>
          <w:bCs/>
          <w:sz w:val="20"/>
        </w:rPr>
      </w:pPr>
    </w:p>
    <w:p w14:paraId="4DC7E130" w14:textId="2863EA7E" w:rsidR="004B7C70" w:rsidRPr="00966775" w:rsidRDefault="00900795" w:rsidP="00BE01EC">
      <w:pPr>
        <w:pStyle w:val="Figurenumberandcaption"/>
      </w:pPr>
      <w:r>
        <w:rPr>
          <w:b/>
          <w:bCs/>
        </w:rPr>
        <w:t>Figure</w:t>
      </w:r>
      <w:r w:rsidR="004B7C70" w:rsidRPr="00966775">
        <w:rPr>
          <w:b/>
          <w:bCs/>
        </w:rPr>
        <w:t xml:space="preserve"> 15.</w:t>
      </w:r>
      <w:r w:rsidR="004B7C70" w:rsidRPr="00966775">
        <w:t xml:space="preserve"> Recovery of agonist responsivity method for measuring antagonist residence time. In this method for signal-transducing receptors, the agonist signal is used to assess occupancy by the antagonist</w:t>
      </w:r>
      <w:r w:rsidR="004B7C70">
        <w:t xml:space="preserve"> (35</w:t>
      </w:r>
      <w:proofErr w:type="gramStart"/>
      <w:r w:rsidR="004B7C70">
        <w:t>,38</w:t>
      </w:r>
      <w:proofErr w:type="gramEnd"/>
      <w:r w:rsidR="004B7C70">
        <w:t>)</w:t>
      </w:r>
      <w:r w:rsidR="004B7C70" w:rsidRPr="00966775">
        <w:t xml:space="preserve">. Receptor-antagonist complexes are formed during a pre-incubation step. The unbound antagonist is then removed by washing. The wells are then left incubating for various times during which the antagonist will dissociate from the receptor. At the desired time points, occupancy by </w:t>
      </w:r>
      <w:r w:rsidR="004B7C70" w:rsidRPr="00966775">
        <w:lastRenderedPageBreak/>
        <w:t xml:space="preserve">the antagonist is assessed indirectly by adding agonist ligand and immediately recording the signal. The more receptors are bound by the </w:t>
      </w:r>
      <w:r w:rsidR="00E34678">
        <w:t>ant</w:t>
      </w:r>
      <w:r w:rsidR="004B7C70" w:rsidRPr="00966775">
        <w:t>agonist, the lower the agonist signal. Data are then plotted as shown in the graph – the response to the agonist versus the time after washout of antagonist. As time progresses, responsivity to the agonist returns (red symbols), owing to dissociation of antagonist from the receptor, freeing the receptor to respond to the agonist.</w:t>
      </w:r>
    </w:p>
    <w:p w14:paraId="4E500C61" w14:textId="77777777" w:rsidR="004B7C70" w:rsidRDefault="004B7C70" w:rsidP="002F04BA"/>
    <w:p w14:paraId="02074BBF" w14:textId="77777777" w:rsidR="004B7C70" w:rsidRDefault="004B7C70" w:rsidP="002F04BA"/>
    <w:p w14:paraId="0FE75638" w14:textId="77777777" w:rsidR="00C3564A" w:rsidRDefault="00C3564A" w:rsidP="00BE01EC">
      <w:pPr>
        <w:pStyle w:val="Tablenumberandcaption"/>
      </w:pPr>
      <w:r w:rsidRPr="004E0B5B">
        <w:t>Table 1. Assays for measuring target-ligand interaction</w:t>
      </w:r>
      <w:r>
        <w:t>s</w:t>
      </w:r>
      <w:r w:rsidRPr="004E0B5B">
        <w:t xml:space="preserve"> and their suitability for kinetic analysis</w:t>
      </w:r>
    </w:p>
    <w:p w14:paraId="38E34CC1" w14:textId="77777777" w:rsidR="00C3564A" w:rsidRPr="004E0B5B" w:rsidRDefault="00C3564A" w:rsidP="00C3564A">
      <w:pPr>
        <w:rPr>
          <w:b/>
          <w:bCs/>
        </w:rPr>
      </w:pPr>
    </w:p>
    <w:tbl>
      <w:tblPr>
        <w:tblStyle w:val="TableGrid"/>
        <w:tblW w:w="0" w:type="auto"/>
        <w:tblLook w:val="04A0" w:firstRow="1" w:lastRow="0" w:firstColumn="1" w:lastColumn="0" w:noHBand="0" w:noVBand="1"/>
      </w:tblPr>
      <w:tblGrid>
        <w:gridCol w:w="2700"/>
        <w:gridCol w:w="1710"/>
        <w:gridCol w:w="3637"/>
        <w:gridCol w:w="1303"/>
      </w:tblGrid>
      <w:tr w:rsidR="00C3564A" w14:paraId="6CB17909" w14:textId="77777777" w:rsidTr="00BE01EC">
        <w:trPr>
          <w:trHeight w:val="720"/>
        </w:trPr>
        <w:tc>
          <w:tcPr>
            <w:tcW w:w="2700" w:type="dxa"/>
          </w:tcPr>
          <w:p w14:paraId="03045A9D" w14:textId="77777777" w:rsidR="00C3564A" w:rsidRPr="00EC1564" w:rsidRDefault="00C3564A" w:rsidP="00BE01EC">
            <w:pPr>
              <w:pStyle w:val="Tableheader"/>
            </w:pPr>
            <w:r w:rsidRPr="00EC1564">
              <w:t>Assay modality</w:t>
            </w:r>
          </w:p>
        </w:tc>
        <w:tc>
          <w:tcPr>
            <w:tcW w:w="1710" w:type="dxa"/>
          </w:tcPr>
          <w:p w14:paraId="5914EBFC" w14:textId="77777777" w:rsidR="00C3564A" w:rsidRPr="00EC1564" w:rsidRDefault="00C3564A" w:rsidP="00BE01EC">
            <w:pPr>
              <w:pStyle w:val="Tableheader"/>
            </w:pPr>
            <w:r w:rsidRPr="00EC1564">
              <w:t>Continuous read?</w:t>
            </w:r>
          </w:p>
        </w:tc>
        <w:tc>
          <w:tcPr>
            <w:tcW w:w="3637" w:type="dxa"/>
          </w:tcPr>
          <w:p w14:paraId="12AE102C" w14:textId="77777777" w:rsidR="00C3564A" w:rsidRPr="00EC1564" w:rsidRDefault="00C3564A" w:rsidP="00BE01EC">
            <w:pPr>
              <w:pStyle w:val="Tableheader"/>
            </w:pPr>
            <w:r w:rsidRPr="00EC1564">
              <w:t>Notes</w:t>
            </w:r>
          </w:p>
        </w:tc>
        <w:tc>
          <w:tcPr>
            <w:tcW w:w="1303" w:type="dxa"/>
          </w:tcPr>
          <w:p w14:paraId="3AAF2880" w14:textId="77777777" w:rsidR="00C3564A" w:rsidRPr="00EC1564" w:rsidRDefault="00C3564A" w:rsidP="00BE01EC">
            <w:pPr>
              <w:pStyle w:val="Tableheader"/>
            </w:pPr>
            <w:r w:rsidRPr="00EC1564">
              <w:t>References</w:t>
            </w:r>
          </w:p>
        </w:tc>
      </w:tr>
      <w:tr w:rsidR="00C3564A" w14:paraId="1337EBBE" w14:textId="77777777" w:rsidTr="00BE01EC">
        <w:trPr>
          <w:trHeight w:val="576"/>
        </w:trPr>
        <w:tc>
          <w:tcPr>
            <w:tcW w:w="2700" w:type="dxa"/>
            <w:shd w:val="clear" w:color="auto" w:fill="FFF2CC" w:themeFill="accent4" w:themeFillTint="33"/>
          </w:tcPr>
          <w:p w14:paraId="6F7D337F" w14:textId="77777777" w:rsidR="00C3564A" w:rsidRPr="00EC1564" w:rsidRDefault="00C3564A" w:rsidP="00BE01EC">
            <w:pPr>
              <w:pStyle w:val="Tablebody"/>
            </w:pPr>
            <w:r w:rsidRPr="00EC1564">
              <w:t>Binding assay</w:t>
            </w:r>
          </w:p>
        </w:tc>
        <w:tc>
          <w:tcPr>
            <w:tcW w:w="1710" w:type="dxa"/>
            <w:shd w:val="clear" w:color="auto" w:fill="FFF2CC" w:themeFill="accent4" w:themeFillTint="33"/>
          </w:tcPr>
          <w:p w14:paraId="312D7843" w14:textId="77777777" w:rsidR="00C3564A" w:rsidRPr="00EC1564" w:rsidRDefault="00C3564A" w:rsidP="00BE01EC">
            <w:pPr>
              <w:pStyle w:val="Tablebody"/>
            </w:pPr>
          </w:p>
        </w:tc>
        <w:tc>
          <w:tcPr>
            <w:tcW w:w="3637" w:type="dxa"/>
            <w:shd w:val="clear" w:color="auto" w:fill="FFF2CC" w:themeFill="accent4" w:themeFillTint="33"/>
          </w:tcPr>
          <w:p w14:paraId="386B762F" w14:textId="77777777" w:rsidR="00C3564A" w:rsidRPr="00EC1564" w:rsidRDefault="00C3564A" w:rsidP="00BE01EC">
            <w:pPr>
              <w:pStyle w:val="Tablebody"/>
            </w:pPr>
          </w:p>
        </w:tc>
        <w:tc>
          <w:tcPr>
            <w:tcW w:w="1303" w:type="dxa"/>
            <w:shd w:val="clear" w:color="auto" w:fill="FFF2CC" w:themeFill="accent4" w:themeFillTint="33"/>
          </w:tcPr>
          <w:p w14:paraId="0DA1CCBB" w14:textId="77777777" w:rsidR="00C3564A" w:rsidRDefault="00C3564A" w:rsidP="00BE01EC">
            <w:pPr>
              <w:pStyle w:val="Tablebody"/>
            </w:pPr>
          </w:p>
        </w:tc>
      </w:tr>
      <w:tr w:rsidR="00C3564A" w14:paraId="262D8568" w14:textId="77777777" w:rsidTr="00BE01EC">
        <w:trPr>
          <w:trHeight w:val="1152"/>
        </w:trPr>
        <w:tc>
          <w:tcPr>
            <w:tcW w:w="2700" w:type="dxa"/>
            <w:shd w:val="clear" w:color="auto" w:fill="FFF2CC" w:themeFill="accent4" w:themeFillTint="33"/>
          </w:tcPr>
          <w:p w14:paraId="635B8847" w14:textId="77777777" w:rsidR="00C3564A" w:rsidRPr="00EC1564" w:rsidRDefault="00C3564A" w:rsidP="00BE01EC">
            <w:pPr>
              <w:pStyle w:val="Tablebody"/>
            </w:pPr>
            <w:r w:rsidRPr="00EC1564">
              <w:t>Fluorescent ligand binding</w:t>
            </w:r>
          </w:p>
        </w:tc>
        <w:tc>
          <w:tcPr>
            <w:tcW w:w="1710" w:type="dxa"/>
            <w:shd w:val="clear" w:color="auto" w:fill="FFF2CC" w:themeFill="accent4" w:themeFillTint="33"/>
          </w:tcPr>
          <w:p w14:paraId="4987E4BC" w14:textId="77777777" w:rsidR="00C3564A" w:rsidRPr="00EC1564" w:rsidRDefault="00C3564A" w:rsidP="00BE01EC">
            <w:pPr>
              <w:pStyle w:val="Tablebody"/>
            </w:pPr>
            <w:r w:rsidRPr="00EC1564">
              <w:t>Yes</w:t>
            </w:r>
          </w:p>
        </w:tc>
        <w:tc>
          <w:tcPr>
            <w:tcW w:w="3637" w:type="dxa"/>
            <w:shd w:val="clear" w:color="auto" w:fill="FFF2CC" w:themeFill="accent4" w:themeFillTint="33"/>
          </w:tcPr>
          <w:p w14:paraId="7D5ECB12" w14:textId="77777777" w:rsidR="00C3564A" w:rsidRPr="00EC1564" w:rsidRDefault="00C3564A" w:rsidP="00BE01EC">
            <w:pPr>
              <w:pStyle w:val="Tablebody"/>
            </w:pPr>
            <w:r w:rsidRPr="00EC1564">
              <w:t xml:space="preserve">Ideal technology for kinetics, particularly new </w:t>
            </w:r>
            <w:bookmarkStart w:id="36" w:name="OLE_LINK16"/>
            <w:r w:rsidRPr="00EC1564">
              <w:t>resonance energy transfer</w:t>
            </w:r>
            <w:bookmarkEnd w:id="36"/>
            <w:r w:rsidRPr="00EC1564">
              <w:t xml:space="preserve"> technologies.</w:t>
            </w:r>
          </w:p>
        </w:tc>
        <w:tc>
          <w:tcPr>
            <w:tcW w:w="1303" w:type="dxa"/>
            <w:shd w:val="clear" w:color="auto" w:fill="FFF2CC" w:themeFill="accent4" w:themeFillTint="33"/>
          </w:tcPr>
          <w:p w14:paraId="38A17C62" w14:textId="56B16A7F" w:rsidR="00C3564A" w:rsidRDefault="00F67842" w:rsidP="00BE01EC">
            <w:pPr>
              <w:pStyle w:val="Tablebody"/>
            </w:pPr>
            <w:r>
              <w:t xml:space="preserve">(7,15,28,29) </w:t>
            </w:r>
          </w:p>
        </w:tc>
      </w:tr>
      <w:tr w:rsidR="00C3564A" w14:paraId="6DA61C61" w14:textId="77777777" w:rsidTr="00BE01EC">
        <w:trPr>
          <w:trHeight w:val="864"/>
        </w:trPr>
        <w:tc>
          <w:tcPr>
            <w:tcW w:w="2700" w:type="dxa"/>
            <w:shd w:val="clear" w:color="auto" w:fill="FFF2CC" w:themeFill="accent4" w:themeFillTint="33"/>
          </w:tcPr>
          <w:p w14:paraId="3B63BD66" w14:textId="77777777" w:rsidR="00C3564A" w:rsidRPr="00EC1564" w:rsidRDefault="00C3564A" w:rsidP="00BE01EC">
            <w:pPr>
              <w:pStyle w:val="Tablebody"/>
            </w:pPr>
            <w:r w:rsidRPr="00EC1564">
              <w:t xml:space="preserve">Surface </w:t>
            </w:r>
            <w:proofErr w:type="spellStart"/>
            <w:r w:rsidRPr="00EC1564">
              <w:t>plasmon</w:t>
            </w:r>
            <w:proofErr w:type="spellEnd"/>
            <w:r w:rsidRPr="00EC1564">
              <w:t xml:space="preserve"> resonance (SPR)</w:t>
            </w:r>
          </w:p>
        </w:tc>
        <w:tc>
          <w:tcPr>
            <w:tcW w:w="1710" w:type="dxa"/>
            <w:shd w:val="clear" w:color="auto" w:fill="FFF2CC" w:themeFill="accent4" w:themeFillTint="33"/>
          </w:tcPr>
          <w:p w14:paraId="7C65CAFE" w14:textId="77777777" w:rsidR="00C3564A" w:rsidRPr="00EC1564" w:rsidRDefault="00C3564A" w:rsidP="00BE01EC">
            <w:pPr>
              <w:pStyle w:val="Tablebody"/>
            </w:pPr>
            <w:r w:rsidRPr="00EC1564">
              <w:t>Yes</w:t>
            </w:r>
          </w:p>
        </w:tc>
        <w:tc>
          <w:tcPr>
            <w:tcW w:w="3637" w:type="dxa"/>
            <w:shd w:val="clear" w:color="auto" w:fill="FFF2CC" w:themeFill="accent4" w:themeFillTint="33"/>
          </w:tcPr>
          <w:p w14:paraId="6829636A" w14:textId="2AEFF1F9" w:rsidR="00C3564A" w:rsidRPr="00EC1564" w:rsidRDefault="00C3564A" w:rsidP="00BE01EC">
            <w:pPr>
              <w:pStyle w:val="Tablebody"/>
            </w:pPr>
            <w:r w:rsidRPr="00EC1564">
              <w:t>Usually requires purified protein</w:t>
            </w:r>
            <w:r>
              <w:t>, or solubilized membrane</w:t>
            </w:r>
            <w:r w:rsidR="00EF048C">
              <w:t xml:space="preserve"> </w:t>
            </w:r>
            <w:r w:rsidR="00DC03D5">
              <w:t>targets.</w:t>
            </w:r>
          </w:p>
        </w:tc>
        <w:tc>
          <w:tcPr>
            <w:tcW w:w="1303" w:type="dxa"/>
            <w:shd w:val="clear" w:color="auto" w:fill="FFF2CC" w:themeFill="accent4" w:themeFillTint="33"/>
          </w:tcPr>
          <w:p w14:paraId="16D7BE24" w14:textId="1325D4E8" w:rsidR="00C3564A" w:rsidRDefault="00F67842" w:rsidP="00BE01EC">
            <w:pPr>
              <w:pStyle w:val="Tablebody"/>
            </w:pPr>
            <w:r>
              <w:t xml:space="preserve">(27) </w:t>
            </w:r>
          </w:p>
        </w:tc>
      </w:tr>
      <w:tr w:rsidR="00C3564A" w14:paraId="00D14263" w14:textId="77777777" w:rsidTr="00BE01EC">
        <w:trPr>
          <w:trHeight w:val="576"/>
        </w:trPr>
        <w:tc>
          <w:tcPr>
            <w:tcW w:w="2700" w:type="dxa"/>
            <w:shd w:val="clear" w:color="auto" w:fill="FFF2CC" w:themeFill="accent4" w:themeFillTint="33"/>
          </w:tcPr>
          <w:p w14:paraId="189BA303" w14:textId="77777777" w:rsidR="00C3564A" w:rsidRPr="00EC1564" w:rsidRDefault="00C3564A" w:rsidP="00BE01EC">
            <w:pPr>
              <w:pStyle w:val="Tablebody"/>
            </w:pPr>
            <w:r w:rsidRPr="00EC1564">
              <w:t>Calorimetry</w:t>
            </w:r>
          </w:p>
        </w:tc>
        <w:tc>
          <w:tcPr>
            <w:tcW w:w="1710" w:type="dxa"/>
            <w:shd w:val="clear" w:color="auto" w:fill="FFF2CC" w:themeFill="accent4" w:themeFillTint="33"/>
          </w:tcPr>
          <w:p w14:paraId="25C9619D" w14:textId="77777777" w:rsidR="00C3564A" w:rsidRPr="00EC1564" w:rsidRDefault="00C3564A" w:rsidP="00BE01EC">
            <w:pPr>
              <w:pStyle w:val="Tablebody"/>
            </w:pPr>
            <w:r w:rsidRPr="00EC1564">
              <w:t>Yes</w:t>
            </w:r>
          </w:p>
        </w:tc>
        <w:tc>
          <w:tcPr>
            <w:tcW w:w="3637" w:type="dxa"/>
            <w:shd w:val="clear" w:color="auto" w:fill="FFF2CC" w:themeFill="accent4" w:themeFillTint="33"/>
          </w:tcPr>
          <w:p w14:paraId="39B28E5D" w14:textId="330A129B" w:rsidR="00C3564A" w:rsidRPr="00EC1564" w:rsidRDefault="00C3564A" w:rsidP="00BE01EC">
            <w:pPr>
              <w:pStyle w:val="Tablebody"/>
            </w:pPr>
            <w:r w:rsidRPr="00EC1564">
              <w:t>Usually requires purified protein</w:t>
            </w:r>
            <w:r w:rsidR="00DC03D5">
              <w:t>.</w:t>
            </w:r>
          </w:p>
        </w:tc>
        <w:tc>
          <w:tcPr>
            <w:tcW w:w="1303" w:type="dxa"/>
            <w:shd w:val="clear" w:color="auto" w:fill="FFF2CC" w:themeFill="accent4" w:themeFillTint="33"/>
          </w:tcPr>
          <w:p w14:paraId="120C66D2" w14:textId="5CB47A71" w:rsidR="00C3564A" w:rsidRDefault="00F67842" w:rsidP="00BE01EC">
            <w:pPr>
              <w:pStyle w:val="Tablebody"/>
            </w:pPr>
            <w:r>
              <w:t xml:space="preserve">(30) </w:t>
            </w:r>
          </w:p>
        </w:tc>
      </w:tr>
      <w:tr w:rsidR="00C3564A" w14:paraId="28FE20DD" w14:textId="77777777" w:rsidTr="00BE01EC">
        <w:trPr>
          <w:trHeight w:val="1008"/>
        </w:trPr>
        <w:tc>
          <w:tcPr>
            <w:tcW w:w="2700" w:type="dxa"/>
            <w:shd w:val="clear" w:color="auto" w:fill="FFF2CC" w:themeFill="accent4" w:themeFillTint="33"/>
          </w:tcPr>
          <w:p w14:paraId="76EC7700" w14:textId="77777777" w:rsidR="00C3564A" w:rsidRPr="00EC1564" w:rsidRDefault="00C3564A" w:rsidP="00BE01EC">
            <w:pPr>
              <w:pStyle w:val="Tablebody"/>
            </w:pPr>
            <w:proofErr w:type="spellStart"/>
            <w:r w:rsidRPr="00EC1564">
              <w:t>Radioligand</w:t>
            </w:r>
            <w:proofErr w:type="spellEnd"/>
            <w:r w:rsidRPr="00EC1564">
              <w:t xml:space="preserve"> binding - filtration</w:t>
            </w:r>
          </w:p>
        </w:tc>
        <w:tc>
          <w:tcPr>
            <w:tcW w:w="1710" w:type="dxa"/>
            <w:shd w:val="clear" w:color="auto" w:fill="FFF2CC" w:themeFill="accent4" w:themeFillTint="33"/>
          </w:tcPr>
          <w:p w14:paraId="689E2D31" w14:textId="77777777" w:rsidR="00C3564A" w:rsidRPr="00EC1564" w:rsidRDefault="00C3564A" w:rsidP="00BE01EC">
            <w:pPr>
              <w:pStyle w:val="Tablebody"/>
            </w:pPr>
            <w:r w:rsidRPr="00EC1564">
              <w:t>No</w:t>
            </w:r>
          </w:p>
        </w:tc>
        <w:tc>
          <w:tcPr>
            <w:tcW w:w="3637" w:type="dxa"/>
            <w:shd w:val="clear" w:color="auto" w:fill="FFF2CC" w:themeFill="accent4" w:themeFillTint="33"/>
          </w:tcPr>
          <w:p w14:paraId="17388F4A" w14:textId="77777777" w:rsidR="00C3564A" w:rsidRPr="00EC1564" w:rsidRDefault="00C3564A" w:rsidP="00BE01EC">
            <w:pPr>
              <w:pStyle w:val="Tablebody"/>
            </w:pPr>
            <w:r w:rsidRPr="00EC1564">
              <w:t>Established methodology but endpoint format cumbersome for kinetics.</w:t>
            </w:r>
          </w:p>
        </w:tc>
        <w:tc>
          <w:tcPr>
            <w:tcW w:w="1303" w:type="dxa"/>
            <w:shd w:val="clear" w:color="auto" w:fill="FFF2CC" w:themeFill="accent4" w:themeFillTint="33"/>
          </w:tcPr>
          <w:p w14:paraId="6FDDBF3B" w14:textId="10B2C149" w:rsidR="00C3564A" w:rsidRDefault="00F67842" w:rsidP="00BE01EC">
            <w:pPr>
              <w:pStyle w:val="Tablebody"/>
            </w:pPr>
            <w:r>
              <w:t xml:space="preserve">(22) </w:t>
            </w:r>
          </w:p>
        </w:tc>
      </w:tr>
      <w:tr w:rsidR="00C3564A" w14:paraId="7ECBC154" w14:textId="77777777" w:rsidTr="00BE01EC">
        <w:trPr>
          <w:trHeight w:val="1296"/>
        </w:trPr>
        <w:tc>
          <w:tcPr>
            <w:tcW w:w="2700" w:type="dxa"/>
            <w:shd w:val="clear" w:color="auto" w:fill="FFF2CC" w:themeFill="accent4" w:themeFillTint="33"/>
          </w:tcPr>
          <w:p w14:paraId="383F7D73" w14:textId="77777777" w:rsidR="00C3564A" w:rsidRPr="00EC1564" w:rsidRDefault="00C3564A" w:rsidP="00BE01EC">
            <w:pPr>
              <w:pStyle w:val="Tablebody"/>
            </w:pPr>
            <w:proofErr w:type="spellStart"/>
            <w:r w:rsidRPr="00EC1564">
              <w:t>Radioligand</w:t>
            </w:r>
            <w:proofErr w:type="spellEnd"/>
            <w:r w:rsidRPr="00EC1564">
              <w:t xml:space="preserve"> binding </w:t>
            </w:r>
            <w:r>
              <w:t>–</w:t>
            </w:r>
            <w:r w:rsidRPr="00EC1564">
              <w:t xml:space="preserve"> </w:t>
            </w:r>
            <w:r>
              <w:t>Scintillation Proximity Assay (</w:t>
            </w:r>
            <w:r w:rsidRPr="00EC1564">
              <w:t>SPA</w:t>
            </w:r>
            <w:r>
              <w:t>)</w:t>
            </w:r>
          </w:p>
        </w:tc>
        <w:tc>
          <w:tcPr>
            <w:tcW w:w="1710" w:type="dxa"/>
            <w:shd w:val="clear" w:color="auto" w:fill="FFF2CC" w:themeFill="accent4" w:themeFillTint="33"/>
          </w:tcPr>
          <w:p w14:paraId="76BC8355" w14:textId="77777777" w:rsidR="00C3564A" w:rsidRPr="00EC1564" w:rsidRDefault="00C3564A" w:rsidP="00BE01EC">
            <w:pPr>
              <w:pStyle w:val="Tablebody"/>
            </w:pPr>
            <w:r w:rsidRPr="00EC1564">
              <w:t>Yes</w:t>
            </w:r>
          </w:p>
        </w:tc>
        <w:tc>
          <w:tcPr>
            <w:tcW w:w="3637" w:type="dxa"/>
            <w:shd w:val="clear" w:color="auto" w:fill="FFF2CC" w:themeFill="accent4" w:themeFillTint="33"/>
          </w:tcPr>
          <w:p w14:paraId="39075CEC" w14:textId="77777777" w:rsidR="00C3564A" w:rsidRPr="00EC1564" w:rsidRDefault="00C3564A" w:rsidP="00BE01EC">
            <w:pPr>
              <w:pStyle w:val="Tablebody"/>
            </w:pPr>
            <w:r w:rsidRPr="00EC1564">
              <w:t xml:space="preserve">SPA modality enables continuous read capability for </w:t>
            </w:r>
            <w:proofErr w:type="spellStart"/>
            <w:r w:rsidRPr="00EC1564">
              <w:t>radioligand</w:t>
            </w:r>
            <w:proofErr w:type="spellEnd"/>
            <w:r w:rsidRPr="00EC1564">
              <w:t xml:space="preserve"> binding, though long read times can reduce sensitivity.</w:t>
            </w:r>
          </w:p>
        </w:tc>
        <w:tc>
          <w:tcPr>
            <w:tcW w:w="1303" w:type="dxa"/>
            <w:shd w:val="clear" w:color="auto" w:fill="FFF2CC" w:themeFill="accent4" w:themeFillTint="33"/>
          </w:tcPr>
          <w:p w14:paraId="6A84AC1D" w14:textId="2A6F55CE" w:rsidR="00C3564A" w:rsidRDefault="00F67842" w:rsidP="00BE01EC">
            <w:pPr>
              <w:pStyle w:val="Tablebody"/>
            </w:pPr>
            <w:r>
              <w:t xml:space="preserve">(22) </w:t>
            </w:r>
          </w:p>
        </w:tc>
      </w:tr>
      <w:tr w:rsidR="00C3564A" w14:paraId="4D6AADF0" w14:textId="77777777" w:rsidTr="00BE01EC">
        <w:trPr>
          <w:trHeight w:val="432"/>
        </w:trPr>
        <w:tc>
          <w:tcPr>
            <w:tcW w:w="2700" w:type="dxa"/>
            <w:shd w:val="clear" w:color="auto" w:fill="DEEAF6" w:themeFill="accent5" w:themeFillTint="33"/>
          </w:tcPr>
          <w:p w14:paraId="69C4A9D3" w14:textId="77777777" w:rsidR="00C3564A" w:rsidRPr="00EC1564" w:rsidRDefault="00C3564A" w:rsidP="00BE01EC">
            <w:pPr>
              <w:pStyle w:val="Tablebody"/>
            </w:pPr>
          </w:p>
          <w:p w14:paraId="38B3FCAA" w14:textId="77777777" w:rsidR="00C3564A" w:rsidRPr="00EC1564" w:rsidRDefault="00C3564A" w:rsidP="00BE01EC">
            <w:pPr>
              <w:pStyle w:val="Tablebody"/>
            </w:pPr>
            <w:r w:rsidRPr="00EC1564">
              <w:t>Functional assay</w:t>
            </w:r>
          </w:p>
        </w:tc>
        <w:tc>
          <w:tcPr>
            <w:tcW w:w="1710" w:type="dxa"/>
            <w:shd w:val="clear" w:color="auto" w:fill="DEEAF6" w:themeFill="accent5" w:themeFillTint="33"/>
          </w:tcPr>
          <w:p w14:paraId="6BF0C6A5" w14:textId="77777777" w:rsidR="00C3564A" w:rsidRPr="00EC1564" w:rsidRDefault="00C3564A" w:rsidP="00BE01EC">
            <w:pPr>
              <w:pStyle w:val="Tablebody"/>
            </w:pPr>
          </w:p>
        </w:tc>
        <w:tc>
          <w:tcPr>
            <w:tcW w:w="3637" w:type="dxa"/>
            <w:shd w:val="clear" w:color="auto" w:fill="DEEAF6" w:themeFill="accent5" w:themeFillTint="33"/>
          </w:tcPr>
          <w:p w14:paraId="0F018D53" w14:textId="77777777" w:rsidR="00C3564A" w:rsidRPr="00EC1564" w:rsidRDefault="00C3564A" w:rsidP="00BE01EC">
            <w:pPr>
              <w:pStyle w:val="Tablebody"/>
            </w:pPr>
          </w:p>
        </w:tc>
        <w:tc>
          <w:tcPr>
            <w:tcW w:w="1303" w:type="dxa"/>
            <w:shd w:val="clear" w:color="auto" w:fill="DEEAF6" w:themeFill="accent5" w:themeFillTint="33"/>
          </w:tcPr>
          <w:p w14:paraId="4997537D" w14:textId="77777777" w:rsidR="00C3564A" w:rsidRDefault="00C3564A" w:rsidP="00BE01EC">
            <w:pPr>
              <w:pStyle w:val="Tablebody"/>
            </w:pPr>
          </w:p>
        </w:tc>
      </w:tr>
      <w:tr w:rsidR="00C3564A" w14:paraId="1A9F5121" w14:textId="77777777" w:rsidTr="00BE01EC">
        <w:trPr>
          <w:trHeight w:val="864"/>
        </w:trPr>
        <w:tc>
          <w:tcPr>
            <w:tcW w:w="2700" w:type="dxa"/>
            <w:shd w:val="clear" w:color="auto" w:fill="DEEAF6" w:themeFill="accent5" w:themeFillTint="33"/>
          </w:tcPr>
          <w:p w14:paraId="109FADA0" w14:textId="77777777" w:rsidR="00C3564A" w:rsidRPr="00EC1564" w:rsidRDefault="00C3564A" w:rsidP="00BE01EC">
            <w:pPr>
              <w:pStyle w:val="Tablebody"/>
            </w:pPr>
            <w:r w:rsidRPr="00EC1564">
              <w:t>Enzyme assays</w:t>
            </w:r>
          </w:p>
        </w:tc>
        <w:tc>
          <w:tcPr>
            <w:tcW w:w="1710" w:type="dxa"/>
            <w:shd w:val="clear" w:color="auto" w:fill="DEEAF6" w:themeFill="accent5" w:themeFillTint="33"/>
          </w:tcPr>
          <w:p w14:paraId="58D49A02" w14:textId="77777777" w:rsidR="00C3564A" w:rsidRPr="00EC1564" w:rsidRDefault="00C3564A" w:rsidP="00BE01EC">
            <w:pPr>
              <w:pStyle w:val="Tablebody"/>
            </w:pPr>
            <w:r w:rsidRPr="00EC1564">
              <w:t>Yes</w:t>
            </w:r>
          </w:p>
        </w:tc>
        <w:tc>
          <w:tcPr>
            <w:tcW w:w="3637" w:type="dxa"/>
            <w:shd w:val="clear" w:color="auto" w:fill="DEEAF6" w:themeFill="accent5" w:themeFillTint="33"/>
          </w:tcPr>
          <w:p w14:paraId="6F25121F" w14:textId="77777777" w:rsidR="00C3564A" w:rsidRPr="00EC1564" w:rsidRDefault="00C3564A" w:rsidP="00BE01EC">
            <w:pPr>
              <w:pStyle w:val="Tablebody"/>
            </w:pPr>
            <w:r w:rsidRPr="00EC1564">
              <w:t>For inhibitors, e.g. jump dilution method.</w:t>
            </w:r>
          </w:p>
        </w:tc>
        <w:tc>
          <w:tcPr>
            <w:tcW w:w="1303" w:type="dxa"/>
            <w:shd w:val="clear" w:color="auto" w:fill="DEEAF6" w:themeFill="accent5" w:themeFillTint="33"/>
          </w:tcPr>
          <w:p w14:paraId="7C350F77" w14:textId="12F37821" w:rsidR="00C3564A" w:rsidRDefault="00F67842" w:rsidP="00BE01EC">
            <w:pPr>
              <w:pStyle w:val="Tablebody"/>
            </w:pPr>
            <w:r>
              <w:t xml:space="preserve">(31-34) </w:t>
            </w:r>
          </w:p>
        </w:tc>
      </w:tr>
      <w:tr w:rsidR="00C3564A" w14:paraId="17F99B12" w14:textId="77777777" w:rsidTr="00BE01EC">
        <w:trPr>
          <w:trHeight w:val="864"/>
        </w:trPr>
        <w:tc>
          <w:tcPr>
            <w:tcW w:w="2700" w:type="dxa"/>
            <w:shd w:val="clear" w:color="auto" w:fill="DEEAF6" w:themeFill="accent5" w:themeFillTint="33"/>
          </w:tcPr>
          <w:p w14:paraId="6CF80D11" w14:textId="77777777" w:rsidR="00C3564A" w:rsidRPr="00EC1564" w:rsidRDefault="00C3564A" w:rsidP="00BE01EC">
            <w:pPr>
              <w:pStyle w:val="Tablebody"/>
            </w:pPr>
            <w:r w:rsidRPr="00EC1564">
              <w:t>Cell signaling assays</w:t>
            </w:r>
          </w:p>
        </w:tc>
        <w:tc>
          <w:tcPr>
            <w:tcW w:w="1710" w:type="dxa"/>
            <w:shd w:val="clear" w:color="auto" w:fill="DEEAF6" w:themeFill="accent5" w:themeFillTint="33"/>
          </w:tcPr>
          <w:p w14:paraId="031A3A38" w14:textId="77777777" w:rsidR="00C3564A" w:rsidRPr="00EC1564" w:rsidRDefault="00C3564A" w:rsidP="00BE01EC">
            <w:pPr>
              <w:pStyle w:val="Tablebody"/>
            </w:pPr>
            <w:r w:rsidRPr="00EC1564">
              <w:t>Yes</w:t>
            </w:r>
          </w:p>
        </w:tc>
        <w:tc>
          <w:tcPr>
            <w:tcW w:w="3637" w:type="dxa"/>
            <w:shd w:val="clear" w:color="auto" w:fill="DEEAF6" w:themeFill="accent5" w:themeFillTint="33"/>
          </w:tcPr>
          <w:p w14:paraId="20381F55" w14:textId="6A36723E" w:rsidR="00C3564A" w:rsidRPr="00EC1564" w:rsidRDefault="00C3564A" w:rsidP="00BE01EC">
            <w:pPr>
              <w:pStyle w:val="Tablebody"/>
            </w:pPr>
            <w:r w:rsidRPr="00EC1564">
              <w:t>For inhibitors</w:t>
            </w:r>
            <w:r w:rsidR="00DC03D5">
              <w:t>. A</w:t>
            </w:r>
            <w:r>
              <w:t xml:space="preserve"> s</w:t>
            </w:r>
            <w:r w:rsidRPr="00EC1564">
              <w:t>hort response time</w:t>
            </w:r>
            <w:r>
              <w:t xml:space="preserve"> is</w:t>
            </w:r>
            <w:r w:rsidRPr="00EC1564">
              <w:t xml:space="preserve"> desirable.</w:t>
            </w:r>
          </w:p>
        </w:tc>
        <w:tc>
          <w:tcPr>
            <w:tcW w:w="1303" w:type="dxa"/>
            <w:shd w:val="clear" w:color="auto" w:fill="DEEAF6" w:themeFill="accent5" w:themeFillTint="33"/>
          </w:tcPr>
          <w:p w14:paraId="2416C112" w14:textId="2CF2BFCF" w:rsidR="00C3564A" w:rsidRDefault="00F67842" w:rsidP="00BE01EC">
            <w:pPr>
              <w:pStyle w:val="Tablebody"/>
            </w:pPr>
            <w:r>
              <w:t xml:space="preserve">(35-39) </w:t>
            </w:r>
          </w:p>
        </w:tc>
      </w:tr>
    </w:tbl>
    <w:p w14:paraId="5DBEB89C" w14:textId="77777777" w:rsidR="00C3564A" w:rsidRDefault="00C3564A" w:rsidP="00C3564A"/>
    <w:p w14:paraId="1E2FAC44" w14:textId="77777777" w:rsidR="00830F76" w:rsidRPr="005B7D96" w:rsidRDefault="00830F76" w:rsidP="00355DD9">
      <w:pPr>
        <w:pStyle w:val="Boxnumberandcaption"/>
      </w:pPr>
      <w:r w:rsidRPr="005B7D96">
        <w:lastRenderedPageBreak/>
        <w:t>Box 1: Association rate constant assay considerations</w:t>
      </w:r>
    </w:p>
    <w:p w14:paraId="25F061E7" w14:textId="77777777" w:rsidR="00830F76" w:rsidRDefault="00830F76" w:rsidP="00355DD9">
      <w:pPr>
        <w:pStyle w:val="Boxcontent"/>
      </w:pPr>
    </w:p>
    <w:p w14:paraId="11E8B369" w14:textId="77777777" w:rsidR="00830F76" w:rsidRPr="00EF23B4" w:rsidRDefault="00830F76" w:rsidP="00355DD9">
      <w:pPr>
        <w:pStyle w:val="Boxcontent"/>
        <w:rPr>
          <w:b/>
          <w:bCs/>
        </w:rPr>
      </w:pPr>
      <w:r w:rsidRPr="00EF23B4">
        <w:rPr>
          <w:b/>
          <w:bCs/>
        </w:rPr>
        <w:t>Time point range</w:t>
      </w:r>
    </w:p>
    <w:p w14:paraId="27378A7A" w14:textId="77777777" w:rsidR="00830F76" w:rsidRDefault="00830F76" w:rsidP="00355DD9">
      <w:pPr>
        <w:pStyle w:val="Boxcontent"/>
        <w:rPr>
          <w:rFonts w:eastAsiaTheme="minorEastAsia"/>
        </w:rPr>
      </w:pPr>
      <w:r>
        <w:rPr>
          <w:rFonts w:eastAsiaTheme="minorEastAsia"/>
        </w:rPr>
        <w:t>Enough time points should be taken to define the curve. Ideally at least six time points on the initial rise phase of the association curve should be taken, and at least six after the midpoint of the curve. The time points should extend long enough to properly define the plateau of the curve. Some iteration will likely be required to identify the optimal range of time points to satisfy these criteria. The time range is dependent on the type of target and the investigator is advised to examine the literature on other targets in the class in selecting the initial time range.</w:t>
      </w:r>
    </w:p>
    <w:p w14:paraId="18C8412A" w14:textId="77777777" w:rsidR="00830F76" w:rsidRDefault="00830F76" w:rsidP="00355DD9">
      <w:pPr>
        <w:pStyle w:val="Boxcontent"/>
        <w:rPr>
          <w:rFonts w:eastAsiaTheme="minorEastAsia"/>
        </w:rPr>
      </w:pPr>
    </w:p>
    <w:p w14:paraId="5578AFBD" w14:textId="77777777" w:rsidR="00830F76" w:rsidRPr="00EF23B4" w:rsidRDefault="00830F76" w:rsidP="00355DD9">
      <w:pPr>
        <w:pStyle w:val="Boxcontent"/>
        <w:rPr>
          <w:rFonts w:eastAsiaTheme="minorEastAsia"/>
          <w:b/>
          <w:bCs/>
        </w:rPr>
      </w:pPr>
      <w:r w:rsidRPr="00EF23B4">
        <w:rPr>
          <w:rFonts w:eastAsiaTheme="minorEastAsia"/>
          <w:b/>
          <w:bCs/>
        </w:rPr>
        <w:t>Ligand concentration range</w:t>
      </w:r>
    </w:p>
    <w:p w14:paraId="11FACA71" w14:textId="1B2FBDAB" w:rsidR="00830F76" w:rsidRDefault="00830F76" w:rsidP="00355DD9">
      <w:pPr>
        <w:pStyle w:val="Boxcontent"/>
        <w:rPr>
          <w:rFonts w:eastAsiaTheme="minorEastAsia"/>
        </w:rPr>
      </w:pPr>
      <w:r>
        <w:rPr>
          <w:rFonts w:eastAsiaTheme="minorEastAsia"/>
        </w:rPr>
        <w:t xml:space="preserve">At least six concentrations are recommended that ideally span at least a 10-fold range: two concentrations below the </w:t>
      </w:r>
      <w:proofErr w:type="spellStart"/>
      <w:proofErr w:type="gramStart"/>
      <w:r w:rsidRPr="00BE2561">
        <w:rPr>
          <w:i/>
          <w:iCs/>
        </w:rPr>
        <w:t>K</w:t>
      </w:r>
      <w:r w:rsidRPr="00BE2561">
        <w:rPr>
          <w:vertAlign w:val="subscript"/>
        </w:rPr>
        <w:t>d</w:t>
      </w:r>
      <w:proofErr w:type="spellEnd"/>
      <w:proofErr w:type="gramEnd"/>
      <w:r>
        <w:rPr>
          <w:rFonts w:eastAsiaTheme="minorEastAsia"/>
        </w:rPr>
        <w:t xml:space="preserve"> concentration, the </w:t>
      </w:r>
      <w:proofErr w:type="spellStart"/>
      <w:r w:rsidRPr="00BE2561">
        <w:rPr>
          <w:i/>
          <w:iCs/>
        </w:rPr>
        <w:t>K</w:t>
      </w:r>
      <w:r w:rsidRPr="00BE2561">
        <w:rPr>
          <w:vertAlign w:val="subscript"/>
        </w:rPr>
        <w:t>d</w:t>
      </w:r>
      <w:proofErr w:type="spellEnd"/>
      <w:r>
        <w:rPr>
          <w:rFonts w:eastAsiaTheme="minorEastAsia"/>
        </w:rPr>
        <w:t xml:space="preserve"> concentration itself, and three concentrations above the </w:t>
      </w:r>
      <w:proofErr w:type="spellStart"/>
      <w:r w:rsidRPr="00BE2561">
        <w:rPr>
          <w:i/>
          <w:iCs/>
        </w:rPr>
        <w:t>K</w:t>
      </w:r>
      <w:r w:rsidRPr="00BE2561">
        <w:rPr>
          <w:vertAlign w:val="subscript"/>
        </w:rPr>
        <w:t>d</w:t>
      </w:r>
      <w:proofErr w:type="spellEnd"/>
      <w:r>
        <w:rPr>
          <w:rFonts w:eastAsiaTheme="minorEastAsia"/>
        </w:rPr>
        <w:t xml:space="preserve">. Representative data are shown in </w:t>
      </w:r>
      <w:r w:rsidR="00900795">
        <w:rPr>
          <w:rFonts w:eastAsiaTheme="minorEastAsia"/>
        </w:rPr>
        <w:t>Figure</w:t>
      </w:r>
      <w:r>
        <w:rPr>
          <w:rFonts w:eastAsiaTheme="minorEastAsia"/>
        </w:rPr>
        <w:t xml:space="preserve"> 3, for a ligand with </w:t>
      </w:r>
      <w:proofErr w:type="spellStart"/>
      <w:r w:rsidRPr="00BE2561">
        <w:rPr>
          <w:i/>
          <w:iCs/>
        </w:rPr>
        <w:t>K</w:t>
      </w:r>
      <w:r w:rsidRPr="00BE2561">
        <w:rPr>
          <w:vertAlign w:val="subscript"/>
        </w:rPr>
        <w:t>d</w:t>
      </w:r>
      <w:proofErr w:type="spellEnd"/>
      <w:r>
        <w:rPr>
          <w:rFonts w:eastAsiaTheme="minorEastAsia"/>
        </w:rPr>
        <w:t xml:space="preserve"> of 4 </w:t>
      </w:r>
      <w:proofErr w:type="spellStart"/>
      <w:r>
        <w:rPr>
          <w:rFonts w:eastAsiaTheme="minorEastAsia"/>
        </w:rPr>
        <w:t>nM</w:t>
      </w:r>
      <w:proofErr w:type="spellEnd"/>
      <w:r>
        <w:rPr>
          <w:rFonts w:eastAsiaTheme="minorEastAsia"/>
        </w:rPr>
        <w:t xml:space="preserve">, employing ligand concentrations of 1, 2, 4, 8, 16 and 32 </w:t>
      </w:r>
      <w:proofErr w:type="spellStart"/>
      <w:r>
        <w:rPr>
          <w:rFonts w:eastAsiaTheme="minorEastAsia"/>
        </w:rPr>
        <w:t>nM</w:t>
      </w:r>
      <w:proofErr w:type="spellEnd"/>
      <w:r>
        <w:rPr>
          <w:rFonts w:eastAsiaTheme="minorEastAsia"/>
        </w:rPr>
        <w:t>.</w:t>
      </w:r>
    </w:p>
    <w:p w14:paraId="5D35104A" w14:textId="77777777" w:rsidR="00830F76" w:rsidRDefault="00830F76" w:rsidP="00355DD9">
      <w:pPr>
        <w:pStyle w:val="Boxcontent"/>
        <w:rPr>
          <w:rFonts w:eastAsiaTheme="minorEastAsia"/>
        </w:rPr>
      </w:pPr>
    </w:p>
    <w:p w14:paraId="57BECC69" w14:textId="77777777" w:rsidR="00830F76" w:rsidRPr="00EF23B4" w:rsidRDefault="00830F76" w:rsidP="00355DD9">
      <w:pPr>
        <w:pStyle w:val="Boxcontent"/>
        <w:rPr>
          <w:rFonts w:eastAsiaTheme="minorEastAsia"/>
          <w:b/>
          <w:bCs/>
        </w:rPr>
      </w:pPr>
      <w:r w:rsidRPr="00EF23B4">
        <w:rPr>
          <w:rFonts w:eastAsiaTheme="minorEastAsia"/>
          <w:b/>
          <w:bCs/>
        </w:rPr>
        <w:t>Target concentration</w:t>
      </w:r>
    </w:p>
    <w:p w14:paraId="4DB4B6B4" w14:textId="77777777" w:rsidR="00830F76" w:rsidRDefault="00830F76" w:rsidP="00355DD9">
      <w:pPr>
        <w:pStyle w:val="Boxcontent"/>
        <w:rPr>
          <w:rFonts w:eastAsiaTheme="minorEastAsia"/>
        </w:rPr>
      </w:pPr>
      <w:r>
        <w:rPr>
          <w:rFonts w:eastAsiaTheme="minorEastAsia"/>
        </w:rPr>
        <w:tab/>
        <w:t>The target concentration should be low enough that &lt; 20% of the ligand added is bound by the target at equilibrium (i.e. at the plateau of the time course). Ideally &lt; 10% should be bound but this is not always practical because sufficient target-ligand complex is required to minimize variability.</w:t>
      </w:r>
    </w:p>
    <w:p w14:paraId="28D1FA13" w14:textId="77777777" w:rsidR="00830F76" w:rsidRDefault="00830F76" w:rsidP="00355DD9">
      <w:pPr>
        <w:pStyle w:val="Boxcontent"/>
        <w:rPr>
          <w:rFonts w:eastAsiaTheme="minorEastAsia"/>
        </w:rPr>
      </w:pPr>
    </w:p>
    <w:p w14:paraId="1A7366D9" w14:textId="77777777" w:rsidR="00830F76" w:rsidRPr="00EF23B4" w:rsidRDefault="00830F76" w:rsidP="00355DD9">
      <w:pPr>
        <w:pStyle w:val="Boxcontent"/>
        <w:rPr>
          <w:rFonts w:eastAsiaTheme="minorEastAsia"/>
          <w:b/>
          <w:bCs/>
        </w:rPr>
      </w:pPr>
      <w:r w:rsidRPr="00EF23B4">
        <w:rPr>
          <w:rFonts w:eastAsiaTheme="minorEastAsia"/>
          <w:b/>
          <w:bCs/>
        </w:rPr>
        <w:t>Stability</w:t>
      </w:r>
    </w:p>
    <w:p w14:paraId="583D524C" w14:textId="77777777" w:rsidR="00830F76" w:rsidRDefault="00830F76" w:rsidP="00355DD9">
      <w:pPr>
        <w:pStyle w:val="Boxcontent"/>
      </w:pPr>
      <w:r>
        <w:rPr>
          <w:rFonts w:eastAsiaTheme="minorEastAsia"/>
        </w:rPr>
        <w:tab/>
        <w:t xml:space="preserve">The target and ligand should be stable for the duration of the time course. For fluorescent ligands, this requires minimal </w:t>
      </w:r>
      <w:proofErr w:type="spellStart"/>
      <w:r>
        <w:rPr>
          <w:rFonts w:eastAsiaTheme="minorEastAsia"/>
        </w:rPr>
        <w:t>photobleaching</w:t>
      </w:r>
      <w:proofErr w:type="spellEnd"/>
      <w:r>
        <w:rPr>
          <w:rFonts w:eastAsiaTheme="minorEastAsia"/>
        </w:rPr>
        <w:t xml:space="preserve"> upon the repeated excitation of the fluorophore in continuous-read mode.</w:t>
      </w:r>
    </w:p>
    <w:p w14:paraId="7B8C0419" w14:textId="77777777" w:rsidR="00355DD9" w:rsidRDefault="00355DD9" w:rsidP="00830F76">
      <w:pPr>
        <w:rPr>
          <w:b/>
          <w:bCs/>
          <w:color w:val="2E74B5" w:themeColor="accent5" w:themeShade="BF"/>
          <w:sz w:val="28"/>
          <w:szCs w:val="28"/>
        </w:rPr>
      </w:pPr>
    </w:p>
    <w:p w14:paraId="438B01AE" w14:textId="1253215D" w:rsidR="00830F76" w:rsidRPr="005B7D96" w:rsidRDefault="00830F76" w:rsidP="00355DD9">
      <w:pPr>
        <w:pStyle w:val="Boxnumberandcaption"/>
      </w:pPr>
      <w:r w:rsidRPr="005B7D96">
        <w:t xml:space="preserve">Box 2 </w:t>
      </w:r>
      <w:proofErr w:type="gramStart"/>
      <w:r w:rsidRPr="005B7D96">
        <w:t>Troubleshooting</w:t>
      </w:r>
      <w:proofErr w:type="gramEnd"/>
      <w:r w:rsidRPr="005B7D96">
        <w:t xml:space="preserve"> </w:t>
      </w:r>
      <w:r w:rsidR="00163C61">
        <w:t xml:space="preserve">the </w:t>
      </w:r>
      <w:r w:rsidRPr="005B7D96">
        <w:t>association rate constant measurement</w:t>
      </w:r>
    </w:p>
    <w:p w14:paraId="46CC4268" w14:textId="77777777" w:rsidR="00830F76" w:rsidRDefault="00830F76" w:rsidP="00355DD9">
      <w:pPr>
        <w:pStyle w:val="Boxcontent"/>
      </w:pPr>
    </w:p>
    <w:p w14:paraId="251C7396" w14:textId="77777777" w:rsidR="00830F76" w:rsidRPr="00AD72BD" w:rsidRDefault="00830F76" w:rsidP="00355DD9">
      <w:pPr>
        <w:pStyle w:val="Boxcontent"/>
        <w:rPr>
          <w:b/>
          <w:bCs/>
        </w:rPr>
      </w:pPr>
      <w:proofErr w:type="spellStart"/>
      <w:proofErr w:type="gramStart"/>
      <w:r w:rsidRPr="008338F7">
        <w:rPr>
          <w:rFonts w:eastAsiaTheme="minorEastAsia"/>
          <w:i/>
          <w:iCs/>
        </w:rPr>
        <w:t>k</w:t>
      </w:r>
      <w:r w:rsidRPr="008338F7">
        <w:rPr>
          <w:rFonts w:eastAsiaTheme="minorEastAsia"/>
          <w:i/>
          <w:iCs/>
          <w:vertAlign w:val="subscript"/>
        </w:rPr>
        <w:t>obs</w:t>
      </w:r>
      <w:proofErr w:type="spellEnd"/>
      <w:proofErr w:type="gramEnd"/>
      <w:r w:rsidRPr="00AD72BD">
        <w:rPr>
          <w:b/>
          <w:bCs/>
        </w:rPr>
        <w:t xml:space="preserve"> vs ligand concentration graph is not linear</w:t>
      </w:r>
    </w:p>
    <w:p w14:paraId="4F8B193C" w14:textId="77777777" w:rsidR="00830F76" w:rsidRDefault="00830F76" w:rsidP="00355DD9">
      <w:pPr>
        <w:pStyle w:val="Boxcontent"/>
      </w:pPr>
      <w:r>
        <w:t xml:space="preserve">Imprecise serial dilution of ligand. Use low-binding surface </w:t>
      </w:r>
      <w:proofErr w:type="spellStart"/>
      <w:r>
        <w:t>plasticware</w:t>
      </w:r>
      <w:proofErr w:type="spellEnd"/>
      <w:r>
        <w:t xml:space="preserve"> and an ideal solvent (e.g. DMSO for small molecules) rather than assay buffer for serial dilution. If a </w:t>
      </w:r>
      <w:proofErr w:type="spellStart"/>
      <w:r>
        <w:t>radioligand</w:t>
      </w:r>
      <w:proofErr w:type="spellEnd"/>
      <w:r>
        <w:t xml:space="preserve"> is being used, count the dose to determine the concentration precisely.</w:t>
      </w:r>
    </w:p>
    <w:p w14:paraId="2653E12C" w14:textId="4C94999C" w:rsidR="00830F76" w:rsidRDefault="00830F76" w:rsidP="00355DD9">
      <w:pPr>
        <w:pStyle w:val="Boxcontent"/>
      </w:pPr>
      <w:r>
        <w:lastRenderedPageBreak/>
        <w:t xml:space="preserve">Binding mechanism does not conform to the simple single-site binding interaction. Particularly evident if the </w:t>
      </w:r>
      <w:proofErr w:type="spellStart"/>
      <w:r w:rsidRPr="0032544B">
        <w:rPr>
          <w:rFonts w:eastAsiaTheme="minorEastAsia"/>
          <w:i/>
          <w:iCs/>
        </w:rPr>
        <w:t>k</w:t>
      </w:r>
      <w:r w:rsidRPr="0032544B">
        <w:rPr>
          <w:rFonts w:eastAsiaTheme="minorEastAsia"/>
          <w:i/>
          <w:iCs/>
          <w:vertAlign w:val="subscript"/>
        </w:rPr>
        <w:t>obs</w:t>
      </w:r>
      <w:proofErr w:type="spellEnd"/>
      <w:r>
        <w:t xml:space="preserve"> vs [L] plot is a hyperbola (see graph at bottom right). Use alternative, appropriate equation for the binding mechanism </w:t>
      </w:r>
      <w:r w:rsidR="00133E9D">
        <w:t>(</w:t>
      </w:r>
      <w:r w:rsidR="00163C61">
        <w:t xml:space="preserve">see </w:t>
      </w:r>
      <w:hyperlink w:anchor="_Complex_Binding_Mechanisms" w:history="1">
        <w:r w:rsidR="00133E9D" w:rsidRPr="00133E9D">
          <w:rPr>
            <w:rStyle w:val="Hyperlink"/>
          </w:rPr>
          <w:t>Complex Binding Mechanisms</w:t>
        </w:r>
      </w:hyperlink>
      <w:r w:rsidR="00133E9D">
        <w:t>)</w:t>
      </w:r>
      <w:r>
        <w:t>, e.g. the post-binding conformational change model – see ref.</w:t>
      </w:r>
      <w:r w:rsidR="00F67842">
        <w:t xml:space="preserve"> (42)</w:t>
      </w:r>
      <w:r>
        <w:t>.</w:t>
      </w:r>
    </w:p>
    <w:p w14:paraId="0E789F2A" w14:textId="77777777" w:rsidR="005D585C" w:rsidRPr="00BE01EC" w:rsidRDefault="005D585C" w:rsidP="005D585C">
      <w:pPr>
        <w:pStyle w:val="Boxcontent"/>
        <w:rPr>
          <w:b/>
          <w:bCs/>
        </w:rPr>
      </w:pPr>
      <w:r w:rsidRPr="00BE01EC">
        <w:rPr>
          <w:b/>
          <w:bCs/>
        </w:rPr>
        <w:t>Time course curve not fit well by association exponential equation</w:t>
      </w:r>
    </w:p>
    <w:p w14:paraId="447EC9D3" w14:textId="77777777" w:rsidR="005D585C" w:rsidRDefault="005D585C" w:rsidP="005D585C">
      <w:pPr>
        <w:pStyle w:val="Boxcontent"/>
      </w:pPr>
      <w:r>
        <w:t>Instability of ligand and/or target, evident by fading time course (see below, left graph). Check stability of ligand and target. Add protease inhibitors, reduce temperature.</w:t>
      </w:r>
    </w:p>
    <w:p w14:paraId="2C67F9BC" w14:textId="3C063DDE" w:rsidR="005D585C" w:rsidRDefault="005D585C" w:rsidP="005D585C">
      <w:pPr>
        <w:pStyle w:val="Boxcontent"/>
      </w:pPr>
      <w:r>
        <w:t>Binding mechanism does not conform to the simple single-site binding interaction. Evident by two phase time course (see below, center graph) and rise-and-fall curve shape. Often observed in whole-cell assays where targets are susceptible to a series of kinetic regulation events. Use membranes for membrane-associated targets (e.g. GPCRs) or purified proteins (e.g. kinases) to minimize regulation events and simplify the binding kinetics. If complex binding curves result from complex binding mechanism, use alternative, appropriate equation (</w:t>
      </w:r>
      <w:hyperlink w:anchor="_Complex_Binding_Mechanisms" w:history="1">
        <w:r w:rsidRPr="005D585C">
          <w:rPr>
            <w:rStyle w:val="Hyperlink"/>
          </w:rPr>
          <w:t>Complex Binding Mechanisms</w:t>
        </w:r>
      </w:hyperlink>
      <w:r>
        <w:t>).</w:t>
      </w:r>
    </w:p>
    <w:p w14:paraId="6F81BF38" w14:textId="00DD9D70" w:rsidR="00830F76" w:rsidRDefault="00355DD9" w:rsidP="00BE01EC">
      <w:pPr>
        <w:pStyle w:val="Boxcontent"/>
      </w:pPr>
      <w:r>
        <w:rPr>
          <w:noProof/>
        </w:rPr>
        <w:drawing>
          <wp:inline distT="0" distB="0" distL="0" distR="0" wp14:anchorId="7DC30C17" wp14:editId="39DDD7DF">
            <wp:extent cx="5943600" cy="19881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jpg"/>
                    <pic:cNvPicPr/>
                  </pic:nvPicPr>
                  <pic:blipFill>
                    <a:blip r:embed="rId58">
                      <a:extLst>
                        <a:ext uri="{28A0092B-C50C-407E-A947-70E740481C1C}">
                          <a14:useLocalDpi xmlns:a14="http://schemas.microsoft.com/office/drawing/2010/main" val="0"/>
                        </a:ext>
                      </a:extLst>
                    </a:blip>
                    <a:stretch>
                      <a:fillRect/>
                    </a:stretch>
                  </pic:blipFill>
                  <pic:spPr>
                    <a:xfrm>
                      <a:off x="0" y="0"/>
                      <a:ext cx="5943600" cy="1988185"/>
                    </a:xfrm>
                    <a:prstGeom prst="rect">
                      <a:avLst/>
                    </a:prstGeom>
                  </pic:spPr>
                </pic:pic>
              </a:graphicData>
            </a:graphic>
          </wp:inline>
        </w:drawing>
      </w:r>
    </w:p>
    <w:p w14:paraId="3CE09CAC" w14:textId="77777777" w:rsidR="00C3564A" w:rsidRDefault="00C3564A" w:rsidP="002F04BA"/>
    <w:p w14:paraId="71B7CC10" w14:textId="77777777" w:rsidR="003E064D" w:rsidRPr="005B7D96" w:rsidRDefault="003E064D" w:rsidP="00355DD9">
      <w:pPr>
        <w:pStyle w:val="Boxnumberandcaption"/>
      </w:pPr>
      <w:r w:rsidRPr="005B7D96">
        <w:t xml:space="preserve">Box 3 </w:t>
      </w:r>
      <w:proofErr w:type="gramStart"/>
      <w:r w:rsidRPr="005B7D96">
        <w:t>Troubleshooting</w:t>
      </w:r>
      <w:proofErr w:type="gramEnd"/>
      <w:r w:rsidRPr="005B7D96">
        <w:t xml:space="preserve"> dissociation rate constant measurement</w:t>
      </w:r>
    </w:p>
    <w:p w14:paraId="331C7C8C" w14:textId="77777777" w:rsidR="003E064D" w:rsidRDefault="003E064D" w:rsidP="00355DD9">
      <w:pPr>
        <w:pStyle w:val="Boxcontent"/>
      </w:pPr>
    </w:p>
    <w:p w14:paraId="66E2CEB7" w14:textId="77777777" w:rsidR="003E064D" w:rsidRPr="00AD72BD" w:rsidRDefault="003E064D" w:rsidP="00355DD9">
      <w:pPr>
        <w:pStyle w:val="Boxcontent"/>
        <w:rPr>
          <w:b/>
          <w:bCs/>
        </w:rPr>
      </w:pPr>
      <w:r w:rsidRPr="00AD72BD">
        <w:rPr>
          <w:b/>
          <w:bCs/>
        </w:rPr>
        <w:t xml:space="preserve">Time course curve not fit well by exponential </w:t>
      </w:r>
      <w:r>
        <w:rPr>
          <w:b/>
          <w:bCs/>
        </w:rPr>
        <w:t xml:space="preserve">decay </w:t>
      </w:r>
      <w:r w:rsidRPr="00AD72BD">
        <w:rPr>
          <w:b/>
          <w:bCs/>
        </w:rPr>
        <w:t>equation</w:t>
      </w:r>
    </w:p>
    <w:p w14:paraId="262123BD" w14:textId="37528D92" w:rsidR="003E064D" w:rsidRDefault="003E064D" w:rsidP="00355DD9">
      <w:pPr>
        <w:pStyle w:val="Boxcontent"/>
      </w:pPr>
      <w:r>
        <w:t xml:space="preserve">A two-phase time course (see below, left graph) can indicate the binding mechanism does not conform to the simple single-site binding interaction. Use alternative, appropriate equation for the binding mechanism </w:t>
      </w:r>
      <w:r w:rsidR="00133E9D">
        <w:t>(</w:t>
      </w:r>
      <w:r w:rsidR="00130AA6">
        <w:t xml:space="preserve">see </w:t>
      </w:r>
      <w:hyperlink w:anchor="_Complex_Binding_Mechanisms" w:history="1">
        <w:r w:rsidR="00133E9D" w:rsidRPr="00133E9D">
          <w:rPr>
            <w:rStyle w:val="Hyperlink"/>
          </w:rPr>
          <w:t>Complex Binding Mechanisms</w:t>
        </w:r>
      </w:hyperlink>
      <w:r w:rsidR="00133E9D">
        <w:t>)</w:t>
      </w:r>
      <w:r>
        <w:t>.</w:t>
      </w:r>
    </w:p>
    <w:p w14:paraId="6064DAA8" w14:textId="77777777" w:rsidR="003E064D" w:rsidRDefault="003E064D" w:rsidP="00355DD9">
      <w:pPr>
        <w:pStyle w:val="Boxcontent"/>
      </w:pPr>
    </w:p>
    <w:p w14:paraId="1825466F" w14:textId="77777777" w:rsidR="003E064D" w:rsidRPr="00C45E0B" w:rsidRDefault="003E064D" w:rsidP="00355DD9">
      <w:pPr>
        <w:pStyle w:val="Boxcontent"/>
        <w:rPr>
          <w:b/>
          <w:bCs/>
        </w:rPr>
      </w:pPr>
      <w:r w:rsidRPr="00C45E0B">
        <w:rPr>
          <w:b/>
          <w:bCs/>
        </w:rPr>
        <w:t>Dissociation curve plateaus above zero</w:t>
      </w:r>
    </w:p>
    <w:p w14:paraId="690BDD46" w14:textId="55369EA9" w:rsidR="003E064D" w:rsidRDefault="003E064D" w:rsidP="00355DD9">
      <w:pPr>
        <w:pStyle w:val="Boxcontent"/>
      </w:pPr>
      <w:r>
        <w:t>Often observed for GPCR agonist ligands where the binding does not decay to zero. This indicates a long-lived receptor state, usually the G-protein-coupled state. Either GTP or GTP</w:t>
      </w:r>
      <w:r>
        <w:sym w:font="Symbol" w:char="F067"/>
      </w:r>
      <w:r>
        <w:t>S can be added to uncouple the receptor from the G-protein</w:t>
      </w:r>
      <w:r w:rsidR="008F7599">
        <w:t xml:space="preserve"> (44)</w:t>
      </w:r>
      <w:r>
        <w:t>.</w:t>
      </w:r>
    </w:p>
    <w:p w14:paraId="0734B52D" w14:textId="77777777" w:rsidR="003E064D" w:rsidRDefault="003E064D" w:rsidP="00355DD9">
      <w:pPr>
        <w:pStyle w:val="Boxcontent"/>
      </w:pPr>
      <w:r>
        <w:lastRenderedPageBreak/>
        <w:t xml:space="preserve">A compartment is present which the unlabeled ligand cannot access, or from which the labeled ligand cannot be washed out. This is occasionally observed in whole cell and membrane binding assays and can be resolved by adding a small amount of membrane </w:t>
      </w:r>
      <w:proofErr w:type="spellStart"/>
      <w:r>
        <w:t>permeabilizing</w:t>
      </w:r>
      <w:proofErr w:type="spellEnd"/>
      <w:r>
        <w:t xml:space="preserve"> agent (e.g. 50 </w:t>
      </w:r>
      <w:r>
        <w:sym w:font="Symbol" w:char="F06D"/>
      </w:r>
      <w:r>
        <w:t xml:space="preserve">g/ml </w:t>
      </w:r>
      <w:proofErr w:type="spellStart"/>
      <w:r>
        <w:t>saponin</w:t>
      </w:r>
      <w:proofErr w:type="spellEnd"/>
      <w:r>
        <w:t>).</w:t>
      </w:r>
    </w:p>
    <w:p w14:paraId="0C1744A9" w14:textId="1DC3CB4F" w:rsidR="003E064D" w:rsidRDefault="003E064D" w:rsidP="00355DD9">
      <w:pPr>
        <w:pStyle w:val="Boxcontent"/>
      </w:pPr>
      <w:r>
        <w:t xml:space="preserve">The binding mechanism does not conform to the simple single-site binding interaction. In this case, use an alternative, appropriate equation for the binding mechanism </w:t>
      </w:r>
      <w:r w:rsidR="00133E9D">
        <w:t>(</w:t>
      </w:r>
      <w:r w:rsidR="007755F0">
        <w:t xml:space="preserve">see </w:t>
      </w:r>
      <w:hyperlink w:anchor="_Complex_Binding_Mechanisms" w:history="1">
        <w:r w:rsidR="00133E9D" w:rsidRPr="00133E9D">
          <w:rPr>
            <w:rStyle w:val="Hyperlink"/>
          </w:rPr>
          <w:t>Complex Binding Mechanisms</w:t>
        </w:r>
      </w:hyperlink>
      <w:r w:rsidR="00133E9D">
        <w:t>)</w:t>
      </w:r>
      <w:r>
        <w:t>.</w:t>
      </w:r>
    </w:p>
    <w:p w14:paraId="73B1BB8B" w14:textId="22A56D3B" w:rsidR="003E064D" w:rsidRDefault="00355DD9" w:rsidP="00BE01EC">
      <w:pPr>
        <w:pStyle w:val="Boxcontent"/>
      </w:pPr>
      <w:r>
        <w:rPr>
          <w:noProof/>
        </w:rPr>
        <w:drawing>
          <wp:inline distT="0" distB="0" distL="0" distR="0" wp14:anchorId="3F5C40D5" wp14:editId="0D23E56C">
            <wp:extent cx="5943600" cy="29800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jpg"/>
                    <pic:cNvPicPr/>
                  </pic:nvPicPr>
                  <pic:blipFill>
                    <a:blip r:embed="rId59">
                      <a:extLst>
                        <a:ext uri="{28A0092B-C50C-407E-A947-70E740481C1C}">
                          <a14:useLocalDpi xmlns:a14="http://schemas.microsoft.com/office/drawing/2010/main" val="0"/>
                        </a:ext>
                      </a:extLst>
                    </a:blip>
                    <a:stretch>
                      <a:fillRect/>
                    </a:stretch>
                  </pic:blipFill>
                  <pic:spPr>
                    <a:xfrm>
                      <a:off x="0" y="0"/>
                      <a:ext cx="5943600" cy="2980055"/>
                    </a:xfrm>
                    <a:prstGeom prst="rect">
                      <a:avLst/>
                    </a:prstGeom>
                  </pic:spPr>
                </pic:pic>
              </a:graphicData>
            </a:graphic>
          </wp:inline>
        </w:drawing>
      </w:r>
    </w:p>
    <w:p w14:paraId="2995C51E" w14:textId="77777777" w:rsidR="003E064D" w:rsidRDefault="003E064D" w:rsidP="002F04BA"/>
    <w:p w14:paraId="0A6D42F3" w14:textId="77777777" w:rsidR="0020387B" w:rsidRDefault="0020387B" w:rsidP="0020387B">
      <w:pPr>
        <w:rPr>
          <w:b/>
          <w:bCs/>
          <w:color w:val="2E74B5" w:themeColor="accent5" w:themeShade="BF"/>
          <w:sz w:val="28"/>
          <w:szCs w:val="28"/>
        </w:rPr>
      </w:pPr>
    </w:p>
    <w:p w14:paraId="1CAE09D2" w14:textId="77777777" w:rsidR="0020387B" w:rsidRDefault="0020387B" w:rsidP="00355DD9">
      <w:pPr>
        <w:pStyle w:val="Boxnumberandcaption"/>
      </w:pPr>
      <w:r w:rsidRPr="00710C41">
        <w:t>Box 4 Experimental setup for unlabeled ligand competition kinetics assay</w:t>
      </w:r>
    </w:p>
    <w:p w14:paraId="5BBB70D7" w14:textId="77777777" w:rsidR="0020387B" w:rsidRPr="00710C41" w:rsidRDefault="0020387B" w:rsidP="00355DD9">
      <w:pPr>
        <w:pStyle w:val="Boxcontent"/>
      </w:pPr>
    </w:p>
    <w:p w14:paraId="40E4C0BF" w14:textId="77777777" w:rsidR="0020387B" w:rsidRPr="00885C27" w:rsidRDefault="0020387B" w:rsidP="00355DD9">
      <w:pPr>
        <w:pStyle w:val="Boxcontent"/>
        <w:rPr>
          <w:b/>
        </w:rPr>
      </w:pPr>
      <w:r w:rsidRPr="00885C27">
        <w:rPr>
          <w:b/>
        </w:rPr>
        <w:t>Conditions</w:t>
      </w:r>
    </w:p>
    <w:p w14:paraId="22C334A8" w14:textId="77777777" w:rsidR="0020387B" w:rsidRDefault="0020387B" w:rsidP="00355DD9">
      <w:pPr>
        <w:pStyle w:val="Boxcontent"/>
      </w:pPr>
      <w:r>
        <w:t>1. Control (tracer only, no unlabeled compound)</w:t>
      </w:r>
    </w:p>
    <w:p w14:paraId="35C7DFA2" w14:textId="77777777" w:rsidR="0020387B" w:rsidRDefault="0020387B" w:rsidP="00355DD9">
      <w:pPr>
        <w:pStyle w:val="Boxcontent"/>
      </w:pPr>
      <w:r>
        <w:t>2. Unlabeled compound, 0.33-fold the ligand IC</w:t>
      </w:r>
      <w:r w:rsidRPr="00AD771A">
        <w:rPr>
          <w:vertAlign w:val="subscript"/>
        </w:rPr>
        <w:t>50</w:t>
      </w:r>
      <w:r>
        <w:t xml:space="preserve"> in an equilibrium competition assay</w:t>
      </w:r>
    </w:p>
    <w:p w14:paraId="4FDB1215" w14:textId="77777777" w:rsidR="0020387B" w:rsidRDefault="0020387B" w:rsidP="00355DD9">
      <w:pPr>
        <w:pStyle w:val="Boxcontent"/>
      </w:pPr>
      <w:r>
        <w:t>3. Unlabeled compound, at the IC</w:t>
      </w:r>
      <w:r w:rsidRPr="00AD771A">
        <w:rPr>
          <w:vertAlign w:val="subscript"/>
        </w:rPr>
        <w:t>50</w:t>
      </w:r>
      <w:r>
        <w:t xml:space="preserve"> concentration</w:t>
      </w:r>
    </w:p>
    <w:p w14:paraId="22518D5E" w14:textId="77777777" w:rsidR="0020387B" w:rsidRDefault="0020387B" w:rsidP="00355DD9">
      <w:pPr>
        <w:pStyle w:val="Boxcontent"/>
      </w:pPr>
      <w:r>
        <w:t>4. Unlabeled compound, at 3-fold the IC</w:t>
      </w:r>
      <w:r w:rsidRPr="00AD771A">
        <w:rPr>
          <w:vertAlign w:val="subscript"/>
        </w:rPr>
        <w:t>50</w:t>
      </w:r>
      <w:r>
        <w:t xml:space="preserve"> concentration</w:t>
      </w:r>
    </w:p>
    <w:p w14:paraId="2DA90B8B" w14:textId="77777777" w:rsidR="0020387B" w:rsidRDefault="0020387B" w:rsidP="00355DD9">
      <w:pPr>
        <w:pStyle w:val="Boxcontent"/>
      </w:pPr>
      <w:r>
        <w:t>5. Nonspecific binding – high concentration of unlabeled ligand</w:t>
      </w:r>
    </w:p>
    <w:p w14:paraId="492C9668" w14:textId="77777777" w:rsidR="0020387B" w:rsidRDefault="0020387B" w:rsidP="00355DD9">
      <w:pPr>
        <w:pStyle w:val="Boxcontent"/>
      </w:pPr>
    </w:p>
    <w:p w14:paraId="4E92F57D" w14:textId="77777777" w:rsidR="0020387B" w:rsidRPr="00885C27" w:rsidRDefault="0020387B" w:rsidP="00355DD9">
      <w:pPr>
        <w:pStyle w:val="Boxcontent"/>
        <w:rPr>
          <w:b/>
        </w:rPr>
      </w:pPr>
      <w:r w:rsidRPr="00885C27">
        <w:rPr>
          <w:b/>
        </w:rPr>
        <w:t>Time points</w:t>
      </w:r>
    </w:p>
    <w:p w14:paraId="76E090DA" w14:textId="77777777" w:rsidR="0020387B" w:rsidRDefault="0020387B" w:rsidP="00355DD9">
      <w:pPr>
        <w:pStyle w:val="Boxcontent"/>
        <w:numPr>
          <w:ilvl w:val="0"/>
          <w:numId w:val="41"/>
        </w:numPr>
      </w:pPr>
      <w:r>
        <w:lastRenderedPageBreak/>
        <w:t>At least 4 time points before the half-time of the tracer-only association curve and at least 12 after.</w:t>
      </w:r>
    </w:p>
    <w:p w14:paraId="2021F03C" w14:textId="77777777" w:rsidR="0020387B" w:rsidRDefault="0020387B" w:rsidP="00355DD9">
      <w:pPr>
        <w:pStyle w:val="Boxcontent"/>
        <w:numPr>
          <w:ilvl w:val="0"/>
          <w:numId w:val="41"/>
        </w:numPr>
      </w:pPr>
      <w:r>
        <w:t>Last time point at 2 hours for pilot assays.</w:t>
      </w:r>
    </w:p>
    <w:p w14:paraId="5109FD25" w14:textId="77777777" w:rsidR="0020387B" w:rsidRDefault="0020387B" w:rsidP="00355DD9">
      <w:pPr>
        <w:pStyle w:val="Boxcontent"/>
        <w:numPr>
          <w:ilvl w:val="0"/>
          <w:numId w:val="41"/>
        </w:numPr>
      </w:pPr>
      <w:r>
        <w:t>Example range: (min): 0.5, 1, 1.5, 2, 3, 4, 6, 8, 10, 13, 16, 20, 25, 30, 36, 43, 50, 60, 70, 80, 90, 100, 110, 120</w:t>
      </w:r>
    </w:p>
    <w:p w14:paraId="07415BFF" w14:textId="77777777" w:rsidR="0020387B" w:rsidRDefault="0020387B" w:rsidP="00355DD9">
      <w:pPr>
        <w:pStyle w:val="Boxcontent"/>
      </w:pPr>
    </w:p>
    <w:p w14:paraId="7172FA29" w14:textId="77777777" w:rsidR="0020387B" w:rsidRPr="00885C27" w:rsidRDefault="0020387B" w:rsidP="00355DD9">
      <w:pPr>
        <w:pStyle w:val="Boxcontent"/>
        <w:rPr>
          <w:b/>
        </w:rPr>
      </w:pPr>
      <w:r w:rsidRPr="00885C27">
        <w:rPr>
          <w:b/>
        </w:rPr>
        <w:t>Tracer concentration</w:t>
      </w:r>
    </w:p>
    <w:p w14:paraId="62F3DD65" w14:textId="77777777" w:rsidR="0020387B" w:rsidRDefault="0020387B" w:rsidP="00355DD9">
      <w:pPr>
        <w:pStyle w:val="Boxcontent"/>
        <w:numPr>
          <w:ilvl w:val="0"/>
          <w:numId w:val="42"/>
        </w:numPr>
      </w:pPr>
      <w:r>
        <w:t xml:space="preserve">3-fold the tracer </w:t>
      </w:r>
      <w:proofErr w:type="spellStart"/>
      <w:r w:rsidRPr="00BE2561">
        <w:rPr>
          <w:i/>
          <w:iCs/>
        </w:rPr>
        <w:t>K</w:t>
      </w:r>
      <w:r w:rsidRPr="00BE2561">
        <w:rPr>
          <w:vertAlign w:val="subscript"/>
        </w:rPr>
        <w:t>d</w:t>
      </w:r>
      <w:proofErr w:type="spellEnd"/>
      <w:r>
        <w:t xml:space="preserve"> as rule of thumb</w:t>
      </w:r>
    </w:p>
    <w:p w14:paraId="4081581D" w14:textId="77777777" w:rsidR="0020387B" w:rsidRDefault="0020387B" w:rsidP="00355DD9">
      <w:pPr>
        <w:pStyle w:val="Boxcontent"/>
        <w:numPr>
          <w:ilvl w:val="0"/>
          <w:numId w:val="42"/>
        </w:numPr>
      </w:pPr>
      <w:r>
        <w:t>Adjust if necessary so that association is not too fast to violate time point criteria above, within the constraints of workflow and instrumentation.</w:t>
      </w:r>
    </w:p>
    <w:p w14:paraId="3D1E2401" w14:textId="77777777" w:rsidR="0020387B" w:rsidRDefault="0020387B" w:rsidP="00355DD9">
      <w:pPr>
        <w:pStyle w:val="Boxcontent"/>
        <w:numPr>
          <w:ilvl w:val="0"/>
          <w:numId w:val="42"/>
        </w:numPr>
      </w:pPr>
      <w:r>
        <w:t>Ensure at most 20% of the added ligand is bound by the target (ideally &lt; 10%, “Zone A”).</w:t>
      </w:r>
    </w:p>
    <w:p w14:paraId="4858218A" w14:textId="77777777" w:rsidR="0020387B" w:rsidRDefault="0020387B" w:rsidP="0020387B"/>
    <w:p w14:paraId="0E122D58" w14:textId="77777777" w:rsidR="00C4367D" w:rsidRPr="00EF5CB8" w:rsidRDefault="00C4367D" w:rsidP="005B7E6D">
      <w:pPr>
        <w:pStyle w:val="Boxnumberandcaption"/>
      </w:pPr>
      <w:r w:rsidRPr="00EF5CB8">
        <w:t xml:space="preserve">Box 5 </w:t>
      </w:r>
      <w:proofErr w:type="gramStart"/>
      <w:r w:rsidRPr="00EF5CB8">
        <w:t>Troubleshooting</w:t>
      </w:r>
      <w:proofErr w:type="gramEnd"/>
      <w:r w:rsidRPr="00EF5CB8">
        <w:t xml:space="preserve"> the competition kinetics assay</w:t>
      </w:r>
    </w:p>
    <w:p w14:paraId="6A62376C" w14:textId="77777777" w:rsidR="00C4367D" w:rsidRPr="00885C27" w:rsidRDefault="00C4367D" w:rsidP="005B7E6D">
      <w:pPr>
        <w:pStyle w:val="Boxcontent"/>
        <w:rPr>
          <w:b/>
        </w:rPr>
      </w:pPr>
      <w:r w:rsidRPr="00885C27">
        <w:rPr>
          <w:b/>
        </w:rPr>
        <w:t>Poor global fit to the equation – some concentrations fit well, others don’t, as follows:</w:t>
      </w:r>
    </w:p>
    <w:p w14:paraId="54F51BC0" w14:textId="788566A7" w:rsidR="00C4367D" w:rsidRDefault="00373819" w:rsidP="00BE01EC">
      <w:pPr>
        <w:pStyle w:val="Boxcontent"/>
      </w:pPr>
      <w:r>
        <w:rPr>
          <w:noProof/>
        </w:rPr>
        <w:drawing>
          <wp:inline distT="0" distB="0" distL="0" distR="0" wp14:anchorId="30C0074F" wp14:editId="09A0FB0A">
            <wp:extent cx="5943600" cy="41046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4.jpg"/>
                    <pic:cNvPicPr/>
                  </pic:nvPicPr>
                  <pic:blipFill>
                    <a:blip r:embed="rId60">
                      <a:extLst>
                        <a:ext uri="{28A0092B-C50C-407E-A947-70E740481C1C}">
                          <a14:useLocalDpi xmlns:a14="http://schemas.microsoft.com/office/drawing/2010/main" val="0"/>
                        </a:ext>
                      </a:extLst>
                    </a:blip>
                    <a:stretch>
                      <a:fillRect/>
                    </a:stretch>
                  </pic:blipFill>
                  <pic:spPr>
                    <a:xfrm>
                      <a:off x="0" y="0"/>
                      <a:ext cx="5943600" cy="4104640"/>
                    </a:xfrm>
                    <a:prstGeom prst="rect">
                      <a:avLst/>
                    </a:prstGeom>
                  </pic:spPr>
                </pic:pic>
              </a:graphicData>
            </a:graphic>
          </wp:inline>
        </w:drawing>
      </w:r>
    </w:p>
    <w:p w14:paraId="5A3675B5" w14:textId="659FEA0E" w:rsidR="00C4367D" w:rsidRDefault="00C4367D" w:rsidP="00C4367D">
      <w:pPr>
        <w:shd w:val="clear" w:color="auto" w:fill="DEEAF6" w:themeFill="accent5" w:themeFillTint="33"/>
        <w:jc w:val="center"/>
      </w:pPr>
    </w:p>
    <w:p w14:paraId="764E7C3D" w14:textId="77777777" w:rsidR="00C4367D" w:rsidRDefault="00C4367D" w:rsidP="006C2EAF">
      <w:pPr>
        <w:pStyle w:val="Boxcontent"/>
      </w:pPr>
      <w:r>
        <w:t xml:space="preserve">This pattern can result from imprecise serial dilution, specifically loss of compound on serial dilution. The legend above shows the predicted concentration (based on serial dilution) and actual concentration in the well. Very high affinity compounds can show this behavior because the concentration in the assay is so low. Use low-binding </w:t>
      </w:r>
      <w:proofErr w:type="spellStart"/>
      <w:r>
        <w:t>plasticware</w:t>
      </w:r>
      <w:proofErr w:type="spellEnd"/>
      <w:r>
        <w:t xml:space="preserve"> and ideal diluent for the compound. This pattern can also result from the target concentration being out of “Zone A”, i.e. the target being at sufficient concentration that it depletes the compound concentration. Reduce the target concentration or increase tracer and compound concentrations.</w:t>
      </w:r>
    </w:p>
    <w:p w14:paraId="3C01280C" w14:textId="77777777" w:rsidR="00C4367D" w:rsidRDefault="00C4367D" w:rsidP="006C2EAF">
      <w:pPr>
        <w:pStyle w:val="Boxcontent"/>
      </w:pPr>
    </w:p>
    <w:p w14:paraId="136A1FD1" w14:textId="77777777" w:rsidR="00C4367D" w:rsidRDefault="00C4367D" w:rsidP="006C2EAF">
      <w:pPr>
        <w:pStyle w:val="Boxcontent"/>
        <w:rPr>
          <w:b/>
          <w:bCs/>
        </w:rPr>
      </w:pPr>
      <w:r w:rsidRPr="000F3207">
        <w:rPr>
          <w:b/>
          <w:bCs/>
        </w:rPr>
        <w:t xml:space="preserve">Unrealistically high </w:t>
      </w:r>
      <w:r>
        <w:rPr>
          <w:b/>
          <w:bCs/>
          <w:i/>
          <w:iCs/>
        </w:rPr>
        <w:t>k</w:t>
      </w:r>
      <w:r w:rsidRPr="000F3207">
        <w:rPr>
          <w:b/>
          <w:bCs/>
          <w:vertAlign w:val="subscript"/>
        </w:rPr>
        <w:t>3</w:t>
      </w:r>
      <w:r w:rsidRPr="000F3207">
        <w:rPr>
          <w:b/>
          <w:bCs/>
        </w:rPr>
        <w:t xml:space="preserve"> and </w:t>
      </w:r>
      <w:r>
        <w:rPr>
          <w:b/>
          <w:bCs/>
          <w:i/>
          <w:iCs/>
        </w:rPr>
        <w:t>k</w:t>
      </w:r>
      <w:r w:rsidRPr="000F3207">
        <w:rPr>
          <w:b/>
          <w:bCs/>
          <w:vertAlign w:val="subscript"/>
        </w:rPr>
        <w:t>4</w:t>
      </w:r>
      <w:r w:rsidRPr="000F3207">
        <w:rPr>
          <w:b/>
          <w:bCs/>
        </w:rPr>
        <w:t xml:space="preserve"> values</w:t>
      </w:r>
    </w:p>
    <w:p w14:paraId="42E30D0D" w14:textId="7B3E04BF" w:rsidR="006C2EAF" w:rsidRPr="000F3207" w:rsidRDefault="006C2EAF" w:rsidP="00BE01EC">
      <w:pPr>
        <w:pStyle w:val="Boxcontent"/>
      </w:pPr>
      <w:r>
        <w:rPr>
          <w:noProof/>
        </w:rPr>
        <w:drawing>
          <wp:inline distT="0" distB="0" distL="0" distR="0" wp14:anchorId="15490D86" wp14:editId="62C508E8">
            <wp:extent cx="5943600" cy="23450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5.jpg"/>
                    <pic:cNvPicPr/>
                  </pic:nvPicPr>
                  <pic:blipFill>
                    <a:blip r:embed="rId61">
                      <a:extLst>
                        <a:ext uri="{28A0092B-C50C-407E-A947-70E740481C1C}">
                          <a14:useLocalDpi xmlns:a14="http://schemas.microsoft.com/office/drawing/2010/main" val="0"/>
                        </a:ext>
                      </a:extLst>
                    </a:blip>
                    <a:stretch>
                      <a:fillRect/>
                    </a:stretch>
                  </pic:blipFill>
                  <pic:spPr>
                    <a:xfrm>
                      <a:off x="0" y="0"/>
                      <a:ext cx="5943600" cy="2345055"/>
                    </a:xfrm>
                    <a:prstGeom prst="rect">
                      <a:avLst/>
                    </a:prstGeom>
                  </pic:spPr>
                </pic:pic>
              </a:graphicData>
            </a:graphic>
          </wp:inline>
        </w:drawing>
      </w:r>
    </w:p>
    <w:p w14:paraId="69534507" w14:textId="3BF3897E" w:rsidR="00C4367D" w:rsidRDefault="00C4367D" w:rsidP="00C4367D">
      <w:pPr>
        <w:shd w:val="clear" w:color="auto" w:fill="DEEAF6" w:themeFill="accent5" w:themeFillTint="33"/>
      </w:pPr>
    </w:p>
    <w:p w14:paraId="601E6DF5" w14:textId="5D617FCD" w:rsidR="0020387B" w:rsidRPr="00EF3D5A" w:rsidRDefault="00C4367D" w:rsidP="006C2EAF">
      <w:pPr>
        <w:pStyle w:val="Boxcontent"/>
      </w:pPr>
      <w:r>
        <w:t xml:space="preserve">Note the very large </w:t>
      </w:r>
      <w:r>
        <w:rPr>
          <w:i/>
          <w:iCs/>
        </w:rPr>
        <w:t>k</w:t>
      </w:r>
      <w:r w:rsidRPr="000F3207">
        <w:rPr>
          <w:vertAlign w:val="subscript"/>
        </w:rPr>
        <w:t>3</w:t>
      </w:r>
      <w:r>
        <w:t xml:space="preserve"> and </w:t>
      </w:r>
      <w:bookmarkStart w:id="37" w:name="_Hlk53215972"/>
      <w:r>
        <w:rPr>
          <w:i/>
          <w:iCs/>
        </w:rPr>
        <w:t>k</w:t>
      </w:r>
      <w:r w:rsidRPr="000F3207">
        <w:rPr>
          <w:vertAlign w:val="subscript"/>
        </w:rPr>
        <w:t>4</w:t>
      </w:r>
      <w:bookmarkEnd w:id="37"/>
      <w:r>
        <w:t xml:space="preserve"> values in the data table. This results when dissociation of test compound is very rapid – see refs. (45</w:t>
      </w:r>
      <w:proofErr w:type="gramStart"/>
      <w:r>
        <w:t>,46</w:t>
      </w:r>
      <w:proofErr w:type="gramEnd"/>
      <w:r>
        <w:t>). This can be solved by analyzing with an equation that assumes rapid dissociation and fits the equilibrium binding affinity (</w:t>
      </w:r>
      <w:r w:rsidRPr="00431CB2">
        <w:rPr>
          <w:i/>
          <w:iCs/>
        </w:rPr>
        <w:t>K</w:t>
      </w:r>
      <w:r w:rsidRPr="00431CB2">
        <w:rPr>
          <w:vertAlign w:val="subscript"/>
        </w:rPr>
        <w:t>i</w:t>
      </w:r>
      <w:r>
        <w:t xml:space="preserve">) instead of the rates (51,52) – see </w:t>
      </w:r>
      <w:hyperlink w:anchor="_Rapid_Dissociation_of" w:history="1">
        <w:r w:rsidR="00133E9D" w:rsidRPr="00133E9D">
          <w:rPr>
            <w:rStyle w:val="Hyperlink"/>
          </w:rPr>
          <w:t>Rapid Dissociation of Unlabeled Compound</w:t>
        </w:r>
      </w:hyperlink>
      <w:r>
        <w:t>.</w:t>
      </w:r>
    </w:p>
    <w:sectPr w:rsidR="0020387B" w:rsidRPr="00EF3D5A">
      <w:headerReference w:type="even" r:id="rId62"/>
      <w:headerReference w:type="default" r:id="rId63"/>
      <w:footerReference w:type="even" r:id="rId64"/>
      <w:footerReference w:type="default" r:id="rId65"/>
      <w:headerReference w:type="first" r:id="rId66"/>
      <w:footerReference w:type="first" r:id="rId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7281D" w14:textId="77777777" w:rsidR="00CF1AF2" w:rsidRDefault="00CF1AF2" w:rsidP="00993619">
      <w:pPr>
        <w:spacing w:after="0"/>
      </w:pPr>
      <w:r>
        <w:separator/>
      </w:r>
    </w:p>
  </w:endnote>
  <w:endnote w:type="continuationSeparator" w:id="0">
    <w:p w14:paraId="58AC09DA" w14:textId="77777777" w:rsidR="00CF1AF2" w:rsidRDefault="00CF1AF2" w:rsidP="00993619">
      <w:pPr>
        <w:spacing w:after="0"/>
      </w:pPr>
      <w:r>
        <w:continuationSeparator/>
      </w:r>
    </w:p>
  </w:endnote>
  <w:endnote w:type="continuationNotice" w:id="1">
    <w:p w14:paraId="16DC581F" w14:textId="77777777" w:rsidR="00CF1AF2" w:rsidRDefault="00CF1AF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D283C" w14:textId="77777777" w:rsidR="00D11B49" w:rsidRDefault="00D11B49">
    <w:pPr>
      <w:pStyle w:val="Footer"/>
    </w:pPr>
  </w:p>
  <w:p w14:paraId="2B83BC9E" w14:textId="77777777" w:rsidR="00D11B49" w:rsidRDefault="00D11B4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4953981"/>
      <w:docPartObj>
        <w:docPartGallery w:val="Page Numbers (Bottom of Page)"/>
        <w:docPartUnique/>
      </w:docPartObj>
    </w:sdtPr>
    <w:sdtEndPr>
      <w:rPr>
        <w:noProof/>
      </w:rPr>
    </w:sdtEndPr>
    <w:sdtContent>
      <w:p w14:paraId="315F05E0" w14:textId="51739678" w:rsidR="00D11B49" w:rsidRDefault="00D11B49">
        <w:pPr>
          <w:pStyle w:val="Footer"/>
          <w:jc w:val="center"/>
        </w:pPr>
        <w:r>
          <w:fldChar w:fldCharType="begin"/>
        </w:r>
        <w:r>
          <w:instrText xml:space="preserve"> PAGE   \* MERGEFORMAT </w:instrText>
        </w:r>
        <w:r>
          <w:fldChar w:fldCharType="separate"/>
        </w:r>
        <w:r w:rsidR="00C119F5">
          <w:rPr>
            <w:noProof/>
          </w:rPr>
          <w:t>33</w:t>
        </w:r>
        <w:r>
          <w:rPr>
            <w:noProof/>
          </w:rPr>
          <w:fldChar w:fldCharType="end"/>
        </w:r>
      </w:p>
    </w:sdtContent>
  </w:sdt>
  <w:p w14:paraId="15E92BD0" w14:textId="77777777" w:rsidR="00D11B49" w:rsidRDefault="00D11B49">
    <w:pPr>
      <w:pStyle w:val="Footer"/>
    </w:pPr>
  </w:p>
  <w:p w14:paraId="499A06B8" w14:textId="77777777" w:rsidR="00D11B49" w:rsidRDefault="00D11B4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D9ABF" w14:textId="77777777" w:rsidR="00D11B49" w:rsidRDefault="00D11B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7F563" w14:textId="77777777" w:rsidR="00CF1AF2" w:rsidRDefault="00CF1AF2" w:rsidP="00993619">
      <w:pPr>
        <w:spacing w:after="0"/>
      </w:pPr>
      <w:r>
        <w:separator/>
      </w:r>
    </w:p>
  </w:footnote>
  <w:footnote w:type="continuationSeparator" w:id="0">
    <w:p w14:paraId="42679555" w14:textId="77777777" w:rsidR="00CF1AF2" w:rsidRDefault="00CF1AF2" w:rsidP="00993619">
      <w:pPr>
        <w:spacing w:after="0"/>
      </w:pPr>
      <w:r>
        <w:continuationSeparator/>
      </w:r>
    </w:p>
  </w:footnote>
  <w:footnote w:type="continuationNotice" w:id="1">
    <w:p w14:paraId="09266756" w14:textId="77777777" w:rsidR="00CF1AF2" w:rsidRDefault="00CF1AF2">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5A289" w14:textId="77777777" w:rsidR="00D11B49" w:rsidRDefault="00D11B49">
    <w:pPr>
      <w:pStyle w:val="Header"/>
    </w:pPr>
  </w:p>
  <w:p w14:paraId="70801476" w14:textId="77777777" w:rsidR="00D11B49" w:rsidRDefault="00D11B4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7E07D" w14:textId="77777777" w:rsidR="00D11B49" w:rsidRDefault="00D11B49">
    <w:pPr>
      <w:pStyle w:val="Header"/>
    </w:pPr>
  </w:p>
  <w:p w14:paraId="60003478" w14:textId="77777777" w:rsidR="00D11B49" w:rsidRDefault="00D11B4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52181" w14:textId="77777777" w:rsidR="00D11B49" w:rsidRDefault="00D11B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88D4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80A3CF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C523DB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8C0725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C68C6E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DDED06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50D60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7988B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8BC7E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C2F8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524AC"/>
    <w:multiLevelType w:val="hybridMultilevel"/>
    <w:tmpl w:val="46C09C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4D05293"/>
    <w:multiLevelType w:val="multilevel"/>
    <w:tmpl w:val="4176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962351"/>
    <w:multiLevelType w:val="hybridMultilevel"/>
    <w:tmpl w:val="300451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FC10B90"/>
    <w:multiLevelType w:val="hybridMultilevel"/>
    <w:tmpl w:val="7B027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4F2947"/>
    <w:multiLevelType w:val="multilevel"/>
    <w:tmpl w:val="6556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C93017"/>
    <w:multiLevelType w:val="hybridMultilevel"/>
    <w:tmpl w:val="0F0A663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F67089"/>
    <w:multiLevelType w:val="hybridMultilevel"/>
    <w:tmpl w:val="F490E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AEB520B"/>
    <w:multiLevelType w:val="hybridMultilevel"/>
    <w:tmpl w:val="0674D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872768"/>
    <w:multiLevelType w:val="multilevel"/>
    <w:tmpl w:val="D2F2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581ACD"/>
    <w:multiLevelType w:val="hybridMultilevel"/>
    <w:tmpl w:val="93AA5CC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CA0BEE"/>
    <w:multiLevelType w:val="multilevel"/>
    <w:tmpl w:val="9448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757F1A"/>
    <w:multiLevelType w:val="multilevel"/>
    <w:tmpl w:val="AEF4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97180A"/>
    <w:multiLevelType w:val="hybridMultilevel"/>
    <w:tmpl w:val="2DBCD3D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1B32DC"/>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2C480F4D"/>
    <w:multiLevelType w:val="hybridMultilevel"/>
    <w:tmpl w:val="44945D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4613A29"/>
    <w:multiLevelType w:val="hybridMultilevel"/>
    <w:tmpl w:val="0514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D0311C"/>
    <w:multiLevelType w:val="hybridMultilevel"/>
    <w:tmpl w:val="F578C6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19A6AFD"/>
    <w:multiLevelType w:val="multilevel"/>
    <w:tmpl w:val="7220D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192632"/>
    <w:multiLevelType w:val="hybridMultilevel"/>
    <w:tmpl w:val="7C7AF7F4"/>
    <w:lvl w:ilvl="0" w:tplc="B38C920E">
      <w:start w:val="1"/>
      <w:numFmt w:val="bullet"/>
      <w:pStyle w:val="Bulletedlist1"/>
      <w:lvlText w:val=""/>
      <w:lvlJc w:val="left"/>
      <w:pPr>
        <w:ind w:left="900" w:hanging="360"/>
      </w:pPr>
      <w:rPr>
        <w:rFonts w:ascii="Symbol" w:hAnsi="Symbol" w:hint="default"/>
      </w:rPr>
    </w:lvl>
    <w:lvl w:ilvl="1" w:tplc="711E01D6">
      <w:start w:val="1"/>
      <w:numFmt w:val="bullet"/>
      <w:pStyle w:val="Bulletedlist2"/>
      <w:lvlText w:val="o"/>
      <w:lvlJc w:val="left"/>
      <w:pPr>
        <w:ind w:left="1440" w:hanging="360"/>
      </w:pPr>
      <w:rPr>
        <w:rFonts w:ascii="Courier New" w:hAnsi="Courier New" w:cs="Courier New" w:hint="default"/>
      </w:rPr>
    </w:lvl>
    <w:lvl w:ilvl="2" w:tplc="E7F063E6">
      <w:start w:val="1"/>
      <w:numFmt w:val="bullet"/>
      <w:pStyle w:val="Bulletedlist3"/>
      <w:lvlText w:val=""/>
      <w:lvlJc w:val="left"/>
      <w:pPr>
        <w:ind w:left="2160" w:hanging="360"/>
      </w:pPr>
      <w:rPr>
        <w:rFonts w:ascii="Wingdings" w:hAnsi="Wingdings" w:hint="default"/>
      </w:rPr>
    </w:lvl>
    <w:lvl w:ilvl="3" w:tplc="D6D2CD1C">
      <w:start w:val="1"/>
      <w:numFmt w:val="bullet"/>
      <w:pStyle w:val="Bulletedlist4"/>
      <w:lvlText w:val=""/>
      <w:lvlJc w:val="left"/>
      <w:pPr>
        <w:ind w:left="2880" w:hanging="360"/>
      </w:pPr>
      <w:rPr>
        <w:rFonts w:ascii="Symbol" w:hAnsi="Symbol" w:hint="default"/>
      </w:rPr>
    </w:lvl>
    <w:lvl w:ilvl="4" w:tplc="02D64550">
      <w:start w:val="1"/>
      <w:numFmt w:val="bullet"/>
      <w:pStyle w:val="Bulletedlist5"/>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1F5C0C"/>
    <w:multiLevelType w:val="hybridMultilevel"/>
    <w:tmpl w:val="0DA27F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5E61C6"/>
    <w:multiLevelType w:val="hybridMultilevel"/>
    <w:tmpl w:val="E8603A8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CE1B36"/>
    <w:multiLevelType w:val="hybridMultilevel"/>
    <w:tmpl w:val="AD565FA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6C4212"/>
    <w:multiLevelType w:val="multilevel"/>
    <w:tmpl w:val="BE88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5C0691"/>
    <w:multiLevelType w:val="multilevel"/>
    <w:tmpl w:val="48B2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0B2E86"/>
    <w:multiLevelType w:val="hybridMultilevel"/>
    <w:tmpl w:val="F69A2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0F444F"/>
    <w:multiLevelType w:val="hybridMultilevel"/>
    <w:tmpl w:val="0674D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177123"/>
    <w:multiLevelType w:val="multilevel"/>
    <w:tmpl w:val="56BE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E8455A"/>
    <w:multiLevelType w:val="hybridMultilevel"/>
    <w:tmpl w:val="CBB206E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29F43F3"/>
    <w:multiLevelType w:val="hybridMultilevel"/>
    <w:tmpl w:val="88664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4E00D6"/>
    <w:multiLevelType w:val="hybridMultilevel"/>
    <w:tmpl w:val="4A80921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C32099"/>
    <w:multiLevelType w:val="hybridMultilevel"/>
    <w:tmpl w:val="A6FC8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0A4ED3"/>
    <w:multiLevelType w:val="hybridMultilevel"/>
    <w:tmpl w:val="5A784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6"/>
  </w:num>
  <w:num w:numId="3">
    <w:abstractNumId w:val="38"/>
  </w:num>
  <w:num w:numId="4">
    <w:abstractNumId w:val="10"/>
  </w:num>
  <w:num w:numId="5">
    <w:abstractNumId w:val="12"/>
  </w:num>
  <w:num w:numId="6">
    <w:abstractNumId w:val="17"/>
  </w:num>
  <w:num w:numId="7">
    <w:abstractNumId w:val="23"/>
  </w:num>
  <w:num w:numId="8">
    <w:abstractNumId w:val="35"/>
  </w:num>
  <w:num w:numId="9">
    <w:abstractNumId w:val="16"/>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30"/>
  </w:num>
  <w:num w:numId="21">
    <w:abstractNumId w:val="37"/>
  </w:num>
  <w:num w:numId="22">
    <w:abstractNumId w:val="19"/>
  </w:num>
  <w:num w:numId="23">
    <w:abstractNumId w:val="15"/>
  </w:num>
  <w:num w:numId="24">
    <w:abstractNumId w:val="31"/>
  </w:num>
  <w:num w:numId="25">
    <w:abstractNumId w:val="18"/>
  </w:num>
  <w:num w:numId="26">
    <w:abstractNumId w:val="27"/>
  </w:num>
  <w:num w:numId="27">
    <w:abstractNumId w:val="20"/>
  </w:num>
  <w:num w:numId="28">
    <w:abstractNumId w:val="33"/>
  </w:num>
  <w:num w:numId="29">
    <w:abstractNumId w:val="14"/>
  </w:num>
  <w:num w:numId="30">
    <w:abstractNumId w:val="21"/>
  </w:num>
  <w:num w:numId="31">
    <w:abstractNumId w:val="11"/>
  </w:num>
  <w:num w:numId="32">
    <w:abstractNumId w:val="36"/>
  </w:num>
  <w:num w:numId="33">
    <w:abstractNumId w:val="32"/>
  </w:num>
  <w:num w:numId="34">
    <w:abstractNumId w:val="22"/>
  </w:num>
  <w:num w:numId="35">
    <w:abstractNumId w:val="39"/>
  </w:num>
  <w:num w:numId="36">
    <w:abstractNumId w:val="29"/>
  </w:num>
  <w:num w:numId="37">
    <w:abstractNumId w:val="41"/>
  </w:num>
  <w:num w:numId="38">
    <w:abstractNumId w:val="13"/>
  </w:num>
  <w:num w:numId="39">
    <w:abstractNumId w:val="28"/>
  </w:num>
  <w:num w:numId="40">
    <w:abstractNumId w:val="40"/>
  </w:num>
  <w:num w:numId="41">
    <w:abstractNumId w:val="25"/>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ezeepewt2a5cef0f3paxedtrt95zds5tse&quot;&gt;Miscellaneous new&lt;record-ids&gt;&lt;item&gt;2&lt;/item&gt;&lt;item&gt;3&lt;/item&gt;&lt;item&gt;4&lt;/item&gt;&lt;item&gt;29&lt;/item&gt;&lt;/record-ids&gt;&lt;/item&gt;&lt;item db-id=&quot;f9vedvrp6zt2pnex9eop5etxsasxa5f05ev2&quot;&gt;Receptor theory&lt;record-ids&gt;&lt;item&gt;32&lt;/item&gt;&lt;/record-ids&gt;&lt;/item&gt;&lt;item db-id=&quot;pp09exzelespwzefrz25twwx9tt99e00vexd&quot;&gt;Binding kinetics&lt;record-ids&gt;&lt;item&gt;4&lt;/item&gt;&lt;item&gt;9&lt;/item&gt;&lt;item&gt;16&lt;/item&gt;&lt;item&gt;17&lt;/item&gt;&lt;item&gt;18&lt;/item&gt;&lt;item&gt;19&lt;/item&gt;&lt;item&gt;20&lt;/item&gt;&lt;item&gt;21&lt;/item&gt;&lt;item&gt;22&lt;/item&gt;&lt;item&gt;23&lt;/item&gt;&lt;item&gt;24&lt;/item&gt;&lt;item&gt;25&lt;/item&gt;&lt;item&gt;26&lt;/item&gt;&lt;item&gt;32&lt;/item&gt;&lt;item&gt;39&lt;/item&gt;&lt;item&gt;43&lt;/item&gt;&lt;item&gt;44&lt;/item&gt;&lt;item&gt;47&lt;/item&gt;&lt;item&gt;51&lt;/item&gt;&lt;item&gt;53&lt;/item&gt;&lt;item&gt;55&lt;/item&gt;&lt;item&gt;56&lt;/item&gt;&lt;item&gt;59&lt;/item&gt;&lt;item&gt;60&lt;/item&gt;&lt;item&gt;69&lt;/item&gt;&lt;item&gt;70&lt;/item&gt;&lt;item&gt;71&lt;/item&gt;&lt;item&gt;72&lt;/item&gt;&lt;item&gt;74&lt;/item&gt;&lt;item&gt;75&lt;/item&gt;&lt;item&gt;76&lt;/item&gt;&lt;item&gt;77&lt;/item&gt;&lt;item&gt;78&lt;/item&gt;&lt;item&gt;79&lt;/item&gt;&lt;item&gt;80&lt;/item&gt;&lt;item&gt;82&lt;/item&gt;&lt;item&gt;83&lt;/item&gt;&lt;item&gt;84&lt;/item&gt;&lt;item&gt;85&lt;/item&gt;&lt;item&gt;86&lt;/item&gt;&lt;item&gt;87&lt;/item&gt;&lt;item&gt;88&lt;/item&gt;&lt;item&gt;89&lt;/item&gt;&lt;item&gt;90&lt;/item&gt;&lt;item&gt;91&lt;/item&gt;&lt;item&gt;92&lt;/item&gt;&lt;item&gt;93&lt;/item&gt;&lt;item&gt;94&lt;/item&gt;&lt;item&gt;106&lt;/item&gt;&lt;item&gt;108&lt;/item&gt;&lt;item&gt;110&lt;/item&gt;&lt;item&gt;111&lt;/item&gt;&lt;/record-ids&gt;&lt;/item&gt;&lt;/Libraries&gt;"/>
  </w:docVars>
  <w:rsids>
    <w:rsidRoot w:val="00070D5F"/>
    <w:rsid w:val="00002E90"/>
    <w:rsid w:val="00003ED8"/>
    <w:rsid w:val="0001122E"/>
    <w:rsid w:val="00012723"/>
    <w:rsid w:val="00016E56"/>
    <w:rsid w:val="00022060"/>
    <w:rsid w:val="000276EC"/>
    <w:rsid w:val="00031FE3"/>
    <w:rsid w:val="0003232A"/>
    <w:rsid w:val="0003298F"/>
    <w:rsid w:val="000349F4"/>
    <w:rsid w:val="00035CE1"/>
    <w:rsid w:val="000404D4"/>
    <w:rsid w:val="000444AC"/>
    <w:rsid w:val="00044FF9"/>
    <w:rsid w:val="000454AE"/>
    <w:rsid w:val="00061E7E"/>
    <w:rsid w:val="00070D5F"/>
    <w:rsid w:val="00071B00"/>
    <w:rsid w:val="00074400"/>
    <w:rsid w:val="00077158"/>
    <w:rsid w:val="00080B6C"/>
    <w:rsid w:val="00082FEB"/>
    <w:rsid w:val="00084E80"/>
    <w:rsid w:val="0008680C"/>
    <w:rsid w:val="00095406"/>
    <w:rsid w:val="000A17BD"/>
    <w:rsid w:val="000A6FF6"/>
    <w:rsid w:val="000A7949"/>
    <w:rsid w:val="000B3304"/>
    <w:rsid w:val="000B6DFD"/>
    <w:rsid w:val="000C2E30"/>
    <w:rsid w:val="000C3725"/>
    <w:rsid w:val="000D1DBB"/>
    <w:rsid w:val="000D224F"/>
    <w:rsid w:val="000D3D17"/>
    <w:rsid w:val="000D748F"/>
    <w:rsid w:val="000E231D"/>
    <w:rsid w:val="000E4606"/>
    <w:rsid w:val="000E5228"/>
    <w:rsid w:val="000F254F"/>
    <w:rsid w:val="000F3207"/>
    <w:rsid w:val="000F5951"/>
    <w:rsid w:val="000F6EEE"/>
    <w:rsid w:val="00110577"/>
    <w:rsid w:val="0011074B"/>
    <w:rsid w:val="001109D5"/>
    <w:rsid w:val="00113A2E"/>
    <w:rsid w:val="0011715A"/>
    <w:rsid w:val="001173A2"/>
    <w:rsid w:val="001225FC"/>
    <w:rsid w:val="0012668D"/>
    <w:rsid w:val="00130AA6"/>
    <w:rsid w:val="00131CAC"/>
    <w:rsid w:val="00133E9D"/>
    <w:rsid w:val="00135E27"/>
    <w:rsid w:val="00143B2C"/>
    <w:rsid w:val="001458D4"/>
    <w:rsid w:val="001503F1"/>
    <w:rsid w:val="00154769"/>
    <w:rsid w:val="00156BDB"/>
    <w:rsid w:val="00161D5F"/>
    <w:rsid w:val="00162234"/>
    <w:rsid w:val="0016283B"/>
    <w:rsid w:val="00163C61"/>
    <w:rsid w:val="00165319"/>
    <w:rsid w:val="00167AB5"/>
    <w:rsid w:val="001738FC"/>
    <w:rsid w:val="00180634"/>
    <w:rsid w:val="00181756"/>
    <w:rsid w:val="00181C94"/>
    <w:rsid w:val="00182D42"/>
    <w:rsid w:val="00187B96"/>
    <w:rsid w:val="00193AB7"/>
    <w:rsid w:val="00195CD6"/>
    <w:rsid w:val="001A4052"/>
    <w:rsid w:val="001A4AEB"/>
    <w:rsid w:val="001B1AC0"/>
    <w:rsid w:val="001B3DEE"/>
    <w:rsid w:val="001B62C8"/>
    <w:rsid w:val="001C0EC6"/>
    <w:rsid w:val="001C2111"/>
    <w:rsid w:val="001C5FF3"/>
    <w:rsid w:val="001C638B"/>
    <w:rsid w:val="001C788B"/>
    <w:rsid w:val="001D3C8D"/>
    <w:rsid w:val="001E3693"/>
    <w:rsid w:val="001E3D5A"/>
    <w:rsid w:val="001E3F3A"/>
    <w:rsid w:val="001E451D"/>
    <w:rsid w:val="001F22C5"/>
    <w:rsid w:val="001F2717"/>
    <w:rsid w:val="001F76DA"/>
    <w:rsid w:val="00202353"/>
    <w:rsid w:val="00203120"/>
    <w:rsid w:val="0020387B"/>
    <w:rsid w:val="0020492E"/>
    <w:rsid w:val="002100A0"/>
    <w:rsid w:val="002104A7"/>
    <w:rsid w:val="002113A8"/>
    <w:rsid w:val="00214B96"/>
    <w:rsid w:val="00215A51"/>
    <w:rsid w:val="0022100D"/>
    <w:rsid w:val="00222F6C"/>
    <w:rsid w:val="0022465D"/>
    <w:rsid w:val="002251E7"/>
    <w:rsid w:val="0022642C"/>
    <w:rsid w:val="00230DA2"/>
    <w:rsid w:val="00232227"/>
    <w:rsid w:val="00233E82"/>
    <w:rsid w:val="00236D0B"/>
    <w:rsid w:val="00237715"/>
    <w:rsid w:val="002455F3"/>
    <w:rsid w:val="00255624"/>
    <w:rsid w:val="00264AAD"/>
    <w:rsid w:val="00264B17"/>
    <w:rsid w:val="00272505"/>
    <w:rsid w:val="00272F09"/>
    <w:rsid w:val="00275B2B"/>
    <w:rsid w:val="0028083E"/>
    <w:rsid w:val="002809A7"/>
    <w:rsid w:val="002822A6"/>
    <w:rsid w:val="00282885"/>
    <w:rsid w:val="00285721"/>
    <w:rsid w:val="00287F79"/>
    <w:rsid w:val="002968F4"/>
    <w:rsid w:val="00297244"/>
    <w:rsid w:val="002A1C26"/>
    <w:rsid w:val="002A20A9"/>
    <w:rsid w:val="002C0483"/>
    <w:rsid w:val="002C6279"/>
    <w:rsid w:val="002F04BA"/>
    <w:rsid w:val="002F2546"/>
    <w:rsid w:val="002F42AD"/>
    <w:rsid w:val="00304071"/>
    <w:rsid w:val="00321013"/>
    <w:rsid w:val="00321A6B"/>
    <w:rsid w:val="0032544B"/>
    <w:rsid w:val="00326E62"/>
    <w:rsid w:val="00331D79"/>
    <w:rsid w:val="00333FFF"/>
    <w:rsid w:val="00335EE3"/>
    <w:rsid w:val="00337AD2"/>
    <w:rsid w:val="0034159B"/>
    <w:rsid w:val="0034191E"/>
    <w:rsid w:val="00342118"/>
    <w:rsid w:val="003422EB"/>
    <w:rsid w:val="0034417A"/>
    <w:rsid w:val="00345825"/>
    <w:rsid w:val="00352772"/>
    <w:rsid w:val="00355DD9"/>
    <w:rsid w:val="0035796A"/>
    <w:rsid w:val="00357B3D"/>
    <w:rsid w:val="003701BE"/>
    <w:rsid w:val="00370DA9"/>
    <w:rsid w:val="00372A4A"/>
    <w:rsid w:val="00373819"/>
    <w:rsid w:val="00376E8B"/>
    <w:rsid w:val="00377929"/>
    <w:rsid w:val="0039292D"/>
    <w:rsid w:val="00397755"/>
    <w:rsid w:val="003A3D12"/>
    <w:rsid w:val="003A52DC"/>
    <w:rsid w:val="003A52F1"/>
    <w:rsid w:val="003A600D"/>
    <w:rsid w:val="003B005A"/>
    <w:rsid w:val="003B1726"/>
    <w:rsid w:val="003B535A"/>
    <w:rsid w:val="003C563E"/>
    <w:rsid w:val="003C7DE5"/>
    <w:rsid w:val="003D1345"/>
    <w:rsid w:val="003D1AC1"/>
    <w:rsid w:val="003D1D41"/>
    <w:rsid w:val="003D232D"/>
    <w:rsid w:val="003E064D"/>
    <w:rsid w:val="003E3D1B"/>
    <w:rsid w:val="003E6992"/>
    <w:rsid w:val="003E6BE8"/>
    <w:rsid w:val="003E7A8C"/>
    <w:rsid w:val="003F1E3D"/>
    <w:rsid w:val="003F3362"/>
    <w:rsid w:val="003F4127"/>
    <w:rsid w:val="003F5A77"/>
    <w:rsid w:val="00402FB7"/>
    <w:rsid w:val="00403DE9"/>
    <w:rsid w:val="00405361"/>
    <w:rsid w:val="00405D56"/>
    <w:rsid w:val="00406A0E"/>
    <w:rsid w:val="00412B4F"/>
    <w:rsid w:val="00412FA3"/>
    <w:rsid w:val="00413195"/>
    <w:rsid w:val="0041495D"/>
    <w:rsid w:val="0042324D"/>
    <w:rsid w:val="00425ADA"/>
    <w:rsid w:val="00426499"/>
    <w:rsid w:val="00431CB2"/>
    <w:rsid w:val="00440C16"/>
    <w:rsid w:val="004415F0"/>
    <w:rsid w:val="00441ADE"/>
    <w:rsid w:val="0044666A"/>
    <w:rsid w:val="004479E9"/>
    <w:rsid w:val="00447A38"/>
    <w:rsid w:val="00450CA2"/>
    <w:rsid w:val="00451FB2"/>
    <w:rsid w:val="0045211E"/>
    <w:rsid w:val="0045544B"/>
    <w:rsid w:val="0045679B"/>
    <w:rsid w:val="00457F67"/>
    <w:rsid w:val="004678F4"/>
    <w:rsid w:val="00473791"/>
    <w:rsid w:val="00477631"/>
    <w:rsid w:val="00480AFC"/>
    <w:rsid w:val="00481C39"/>
    <w:rsid w:val="00482A45"/>
    <w:rsid w:val="004853CF"/>
    <w:rsid w:val="004872E9"/>
    <w:rsid w:val="004918E0"/>
    <w:rsid w:val="00491A7C"/>
    <w:rsid w:val="00492474"/>
    <w:rsid w:val="0049650F"/>
    <w:rsid w:val="004A1B11"/>
    <w:rsid w:val="004B59CD"/>
    <w:rsid w:val="004B636D"/>
    <w:rsid w:val="004B7C70"/>
    <w:rsid w:val="004C1762"/>
    <w:rsid w:val="004C1844"/>
    <w:rsid w:val="004C3065"/>
    <w:rsid w:val="004C3280"/>
    <w:rsid w:val="004C5586"/>
    <w:rsid w:val="004D4410"/>
    <w:rsid w:val="004D6A74"/>
    <w:rsid w:val="004D76C2"/>
    <w:rsid w:val="004D7F08"/>
    <w:rsid w:val="004E0B5B"/>
    <w:rsid w:val="004E7EB0"/>
    <w:rsid w:val="004F0942"/>
    <w:rsid w:val="004F78A4"/>
    <w:rsid w:val="005029D6"/>
    <w:rsid w:val="00504830"/>
    <w:rsid w:val="00515465"/>
    <w:rsid w:val="005226F0"/>
    <w:rsid w:val="00523F67"/>
    <w:rsid w:val="00524E2F"/>
    <w:rsid w:val="005321A2"/>
    <w:rsid w:val="00534E94"/>
    <w:rsid w:val="00536007"/>
    <w:rsid w:val="00537DCE"/>
    <w:rsid w:val="00541804"/>
    <w:rsid w:val="00543D38"/>
    <w:rsid w:val="0054407B"/>
    <w:rsid w:val="005460CC"/>
    <w:rsid w:val="00546DA7"/>
    <w:rsid w:val="00555CB4"/>
    <w:rsid w:val="005621D6"/>
    <w:rsid w:val="005629C5"/>
    <w:rsid w:val="00564F27"/>
    <w:rsid w:val="0057160D"/>
    <w:rsid w:val="00572D38"/>
    <w:rsid w:val="00573055"/>
    <w:rsid w:val="005736E9"/>
    <w:rsid w:val="00573A72"/>
    <w:rsid w:val="00574241"/>
    <w:rsid w:val="0057443E"/>
    <w:rsid w:val="00574DE1"/>
    <w:rsid w:val="00576602"/>
    <w:rsid w:val="00586854"/>
    <w:rsid w:val="00587AC3"/>
    <w:rsid w:val="00587ADC"/>
    <w:rsid w:val="00591295"/>
    <w:rsid w:val="005915CB"/>
    <w:rsid w:val="005933DA"/>
    <w:rsid w:val="005A14D5"/>
    <w:rsid w:val="005A2C31"/>
    <w:rsid w:val="005A64A6"/>
    <w:rsid w:val="005A7A7C"/>
    <w:rsid w:val="005B21FD"/>
    <w:rsid w:val="005B4DC6"/>
    <w:rsid w:val="005B79C2"/>
    <w:rsid w:val="005B7D96"/>
    <w:rsid w:val="005B7E6D"/>
    <w:rsid w:val="005C5554"/>
    <w:rsid w:val="005D0431"/>
    <w:rsid w:val="005D573B"/>
    <w:rsid w:val="005D585C"/>
    <w:rsid w:val="005E4BCF"/>
    <w:rsid w:val="005E584C"/>
    <w:rsid w:val="005E5FC3"/>
    <w:rsid w:val="005F35A3"/>
    <w:rsid w:val="005F4C7D"/>
    <w:rsid w:val="005F528E"/>
    <w:rsid w:val="00604670"/>
    <w:rsid w:val="00610005"/>
    <w:rsid w:val="0061612A"/>
    <w:rsid w:val="00617141"/>
    <w:rsid w:val="00621796"/>
    <w:rsid w:val="0062257F"/>
    <w:rsid w:val="00625EC1"/>
    <w:rsid w:val="006507E2"/>
    <w:rsid w:val="006640E1"/>
    <w:rsid w:val="006646D6"/>
    <w:rsid w:val="0066531F"/>
    <w:rsid w:val="00666439"/>
    <w:rsid w:val="006670D1"/>
    <w:rsid w:val="00696448"/>
    <w:rsid w:val="00697800"/>
    <w:rsid w:val="006A394E"/>
    <w:rsid w:val="006B589F"/>
    <w:rsid w:val="006B7D16"/>
    <w:rsid w:val="006C150F"/>
    <w:rsid w:val="006C1989"/>
    <w:rsid w:val="006C1E09"/>
    <w:rsid w:val="006C2EAF"/>
    <w:rsid w:val="006D29CA"/>
    <w:rsid w:val="006D2B3B"/>
    <w:rsid w:val="006D47EE"/>
    <w:rsid w:val="006D7706"/>
    <w:rsid w:val="006E1A05"/>
    <w:rsid w:val="006E2F6C"/>
    <w:rsid w:val="006E3498"/>
    <w:rsid w:val="006E3D86"/>
    <w:rsid w:val="006E611A"/>
    <w:rsid w:val="006F0814"/>
    <w:rsid w:val="00705089"/>
    <w:rsid w:val="007075A0"/>
    <w:rsid w:val="00710010"/>
    <w:rsid w:val="00710C41"/>
    <w:rsid w:val="00716A1C"/>
    <w:rsid w:val="0072111C"/>
    <w:rsid w:val="00723041"/>
    <w:rsid w:val="00724119"/>
    <w:rsid w:val="00736224"/>
    <w:rsid w:val="00740D3A"/>
    <w:rsid w:val="007451F0"/>
    <w:rsid w:val="007501DA"/>
    <w:rsid w:val="00752CA7"/>
    <w:rsid w:val="00752CE1"/>
    <w:rsid w:val="00755DE3"/>
    <w:rsid w:val="00760428"/>
    <w:rsid w:val="00765468"/>
    <w:rsid w:val="00766142"/>
    <w:rsid w:val="00766E60"/>
    <w:rsid w:val="0077241B"/>
    <w:rsid w:val="007755F0"/>
    <w:rsid w:val="00776D38"/>
    <w:rsid w:val="00782753"/>
    <w:rsid w:val="00783AA0"/>
    <w:rsid w:val="007906BA"/>
    <w:rsid w:val="007A02A2"/>
    <w:rsid w:val="007B1015"/>
    <w:rsid w:val="007B1768"/>
    <w:rsid w:val="007B577F"/>
    <w:rsid w:val="007B71D0"/>
    <w:rsid w:val="007C0EDD"/>
    <w:rsid w:val="007C2C21"/>
    <w:rsid w:val="007C39AF"/>
    <w:rsid w:val="007C3BD9"/>
    <w:rsid w:val="007D1479"/>
    <w:rsid w:val="007D374E"/>
    <w:rsid w:val="007E2D60"/>
    <w:rsid w:val="007F2D35"/>
    <w:rsid w:val="007F3701"/>
    <w:rsid w:val="007F5C6A"/>
    <w:rsid w:val="007F6177"/>
    <w:rsid w:val="00800152"/>
    <w:rsid w:val="0080081D"/>
    <w:rsid w:val="00800E08"/>
    <w:rsid w:val="00813119"/>
    <w:rsid w:val="008146B5"/>
    <w:rsid w:val="00822AEF"/>
    <w:rsid w:val="00824CC7"/>
    <w:rsid w:val="00825313"/>
    <w:rsid w:val="00830F76"/>
    <w:rsid w:val="008338F7"/>
    <w:rsid w:val="00835A39"/>
    <w:rsid w:val="00840AF3"/>
    <w:rsid w:val="00842861"/>
    <w:rsid w:val="00842D5F"/>
    <w:rsid w:val="00842DC4"/>
    <w:rsid w:val="00847031"/>
    <w:rsid w:val="00856D3D"/>
    <w:rsid w:val="00862F95"/>
    <w:rsid w:val="008656F4"/>
    <w:rsid w:val="008665BD"/>
    <w:rsid w:val="00873BC9"/>
    <w:rsid w:val="00882BF4"/>
    <w:rsid w:val="008853B1"/>
    <w:rsid w:val="00885756"/>
    <w:rsid w:val="00885C27"/>
    <w:rsid w:val="0088699F"/>
    <w:rsid w:val="00887BAC"/>
    <w:rsid w:val="008A0416"/>
    <w:rsid w:val="008A53FC"/>
    <w:rsid w:val="008B6AD9"/>
    <w:rsid w:val="008B6CC6"/>
    <w:rsid w:val="008C3E3C"/>
    <w:rsid w:val="008C5FFB"/>
    <w:rsid w:val="008C6534"/>
    <w:rsid w:val="008E40F6"/>
    <w:rsid w:val="008F25AB"/>
    <w:rsid w:val="008F5EB2"/>
    <w:rsid w:val="008F7599"/>
    <w:rsid w:val="00900795"/>
    <w:rsid w:val="00902187"/>
    <w:rsid w:val="0090635B"/>
    <w:rsid w:val="0091392B"/>
    <w:rsid w:val="009154C9"/>
    <w:rsid w:val="0091703B"/>
    <w:rsid w:val="00927E1A"/>
    <w:rsid w:val="00930CD6"/>
    <w:rsid w:val="00930D86"/>
    <w:rsid w:val="009322C9"/>
    <w:rsid w:val="00936121"/>
    <w:rsid w:val="009367F1"/>
    <w:rsid w:val="009426A3"/>
    <w:rsid w:val="00945DA2"/>
    <w:rsid w:val="0095107F"/>
    <w:rsid w:val="009551A3"/>
    <w:rsid w:val="009602CD"/>
    <w:rsid w:val="0096219E"/>
    <w:rsid w:val="00966775"/>
    <w:rsid w:val="00971B48"/>
    <w:rsid w:val="00972785"/>
    <w:rsid w:val="00972A05"/>
    <w:rsid w:val="00990BE2"/>
    <w:rsid w:val="00993619"/>
    <w:rsid w:val="009A0522"/>
    <w:rsid w:val="009B250A"/>
    <w:rsid w:val="009B37DA"/>
    <w:rsid w:val="009B3DE4"/>
    <w:rsid w:val="009C232C"/>
    <w:rsid w:val="009C5E4D"/>
    <w:rsid w:val="009C63B7"/>
    <w:rsid w:val="009C7E70"/>
    <w:rsid w:val="009D151B"/>
    <w:rsid w:val="009D3313"/>
    <w:rsid w:val="009D359E"/>
    <w:rsid w:val="009D3BAF"/>
    <w:rsid w:val="009E07C2"/>
    <w:rsid w:val="009F1A95"/>
    <w:rsid w:val="00A001C3"/>
    <w:rsid w:val="00A02C49"/>
    <w:rsid w:val="00A139F4"/>
    <w:rsid w:val="00A14D86"/>
    <w:rsid w:val="00A25F4C"/>
    <w:rsid w:val="00A27147"/>
    <w:rsid w:val="00A31EFD"/>
    <w:rsid w:val="00A32A3A"/>
    <w:rsid w:val="00A3442B"/>
    <w:rsid w:val="00A36209"/>
    <w:rsid w:val="00A40540"/>
    <w:rsid w:val="00A41649"/>
    <w:rsid w:val="00A42D88"/>
    <w:rsid w:val="00A46E12"/>
    <w:rsid w:val="00A51D8B"/>
    <w:rsid w:val="00A52919"/>
    <w:rsid w:val="00A557B6"/>
    <w:rsid w:val="00A61275"/>
    <w:rsid w:val="00A63D4E"/>
    <w:rsid w:val="00A64809"/>
    <w:rsid w:val="00A72555"/>
    <w:rsid w:val="00A7447E"/>
    <w:rsid w:val="00A77447"/>
    <w:rsid w:val="00A7796D"/>
    <w:rsid w:val="00A81991"/>
    <w:rsid w:val="00A84133"/>
    <w:rsid w:val="00A957D1"/>
    <w:rsid w:val="00A95A79"/>
    <w:rsid w:val="00AB18E2"/>
    <w:rsid w:val="00AB1D30"/>
    <w:rsid w:val="00AB4FEF"/>
    <w:rsid w:val="00AB5AA1"/>
    <w:rsid w:val="00AB5C2B"/>
    <w:rsid w:val="00AB62AF"/>
    <w:rsid w:val="00AC1868"/>
    <w:rsid w:val="00AC3D3A"/>
    <w:rsid w:val="00AC53EB"/>
    <w:rsid w:val="00AD3B77"/>
    <w:rsid w:val="00AD6022"/>
    <w:rsid w:val="00AD6CC5"/>
    <w:rsid w:val="00AD72BD"/>
    <w:rsid w:val="00AD771A"/>
    <w:rsid w:val="00AE6269"/>
    <w:rsid w:val="00AF01BE"/>
    <w:rsid w:val="00AF2715"/>
    <w:rsid w:val="00AF6212"/>
    <w:rsid w:val="00B00170"/>
    <w:rsid w:val="00B054D7"/>
    <w:rsid w:val="00B06379"/>
    <w:rsid w:val="00B07480"/>
    <w:rsid w:val="00B07518"/>
    <w:rsid w:val="00B11183"/>
    <w:rsid w:val="00B115C0"/>
    <w:rsid w:val="00B12805"/>
    <w:rsid w:val="00B203E3"/>
    <w:rsid w:val="00B214E5"/>
    <w:rsid w:val="00B2236D"/>
    <w:rsid w:val="00B22B0A"/>
    <w:rsid w:val="00B2772D"/>
    <w:rsid w:val="00B35CB9"/>
    <w:rsid w:val="00B37575"/>
    <w:rsid w:val="00B424F6"/>
    <w:rsid w:val="00B46545"/>
    <w:rsid w:val="00B51643"/>
    <w:rsid w:val="00B51B0B"/>
    <w:rsid w:val="00B52C55"/>
    <w:rsid w:val="00B52D99"/>
    <w:rsid w:val="00B537F5"/>
    <w:rsid w:val="00B53D2C"/>
    <w:rsid w:val="00B601C2"/>
    <w:rsid w:val="00B62B5F"/>
    <w:rsid w:val="00B70CDE"/>
    <w:rsid w:val="00B71676"/>
    <w:rsid w:val="00B73840"/>
    <w:rsid w:val="00B75A72"/>
    <w:rsid w:val="00B7647F"/>
    <w:rsid w:val="00B76950"/>
    <w:rsid w:val="00B87E7A"/>
    <w:rsid w:val="00B92DD5"/>
    <w:rsid w:val="00B9492C"/>
    <w:rsid w:val="00B966A4"/>
    <w:rsid w:val="00B96ED1"/>
    <w:rsid w:val="00B97618"/>
    <w:rsid w:val="00B97856"/>
    <w:rsid w:val="00BA2B7D"/>
    <w:rsid w:val="00BA6E72"/>
    <w:rsid w:val="00BB380B"/>
    <w:rsid w:val="00BB3A9B"/>
    <w:rsid w:val="00BB7DF0"/>
    <w:rsid w:val="00BC16DD"/>
    <w:rsid w:val="00BC4148"/>
    <w:rsid w:val="00BD04C2"/>
    <w:rsid w:val="00BD56F7"/>
    <w:rsid w:val="00BD71B6"/>
    <w:rsid w:val="00BE01C8"/>
    <w:rsid w:val="00BE01EC"/>
    <w:rsid w:val="00BE2561"/>
    <w:rsid w:val="00BE5082"/>
    <w:rsid w:val="00BE70E2"/>
    <w:rsid w:val="00BE7D20"/>
    <w:rsid w:val="00BF0A1E"/>
    <w:rsid w:val="00BF1B86"/>
    <w:rsid w:val="00BF57A1"/>
    <w:rsid w:val="00BF5D2A"/>
    <w:rsid w:val="00BF64C0"/>
    <w:rsid w:val="00C02344"/>
    <w:rsid w:val="00C02E66"/>
    <w:rsid w:val="00C06210"/>
    <w:rsid w:val="00C119F5"/>
    <w:rsid w:val="00C1260B"/>
    <w:rsid w:val="00C162D6"/>
    <w:rsid w:val="00C17F94"/>
    <w:rsid w:val="00C20375"/>
    <w:rsid w:val="00C23549"/>
    <w:rsid w:val="00C2363D"/>
    <w:rsid w:val="00C25103"/>
    <w:rsid w:val="00C25303"/>
    <w:rsid w:val="00C278A9"/>
    <w:rsid w:val="00C314C7"/>
    <w:rsid w:val="00C3293F"/>
    <w:rsid w:val="00C34E71"/>
    <w:rsid w:val="00C3564A"/>
    <w:rsid w:val="00C357EC"/>
    <w:rsid w:val="00C433AD"/>
    <w:rsid w:val="00C4367D"/>
    <w:rsid w:val="00C45E0B"/>
    <w:rsid w:val="00C5169C"/>
    <w:rsid w:val="00C56800"/>
    <w:rsid w:val="00C57857"/>
    <w:rsid w:val="00C6082A"/>
    <w:rsid w:val="00C62BF7"/>
    <w:rsid w:val="00C640C1"/>
    <w:rsid w:val="00C657C4"/>
    <w:rsid w:val="00C72509"/>
    <w:rsid w:val="00C73AA6"/>
    <w:rsid w:val="00C7675D"/>
    <w:rsid w:val="00C81189"/>
    <w:rsid w:val="00C85664"/>
    <w:rsid w:val="00C86693"/>
    <w:rsid w:val="00C9112A"/>
    <w:rsid w:val="00C94B94"/>
    <w:rsid w:val="00C969A5"/>
    <w:rsid w:val="00CA20EF"/>
    <w:rsid w:val="00CA29F0"/>
    <w:rsid w:val="00CA2C54"/>
    <w:rsid w:val="00CA3B13"/>
    <w:rsid w:val="00CC149B"/>
    <w:rsid w:val="00CC772D"/>
    <w:rsid w:val="00CD13ED"/>
    <w:rsid w:val="00CD3485"/>
    <w:rsid w:val="00CE0D77"/>
    <w:rsid w:val="00CE5765"/>
    <w:rsid w:val="00CF1AF2"/>
    <w:rsid w:val="00CF2903"/>
    <w:rsid w:val="00CF4F6B"/>
    <w:rsid w:val="00D0143E"/>
    <w:rsid w:val="00D025E3"/>
    <w:rsid w:val="00D07971"/>
    <w:rsid w:val="00D11B49"/>
    <w:rsid w:val="00D1209C"/>
    <w:rsid w:val="00D14C2F"/>
    <w:rsid w:val="00D15EE5"/>
    <w:rsid w:val="00D15FF3"/>
    <w:rsid w:val="00D21691"/>
    <w:rsid w:val="00D21EE4"/>
    <w:rsid w:val="00D22163"/>
    <w:rsid w:val="00D23D57"/>
    <w:rsid w:val="00D3288D"/>
    <w:rsid w:val="00D36F34"/>
    <w:rsid w:val="00D42632"/>
    <w:rsid w:val="00D477B4"/>
    <w:rsid w:val="00D52CB5"/>
    <w:rsid w:val="00D560A9"/>
    <w:rsid w:val="00D6110F"/>
    <w:rsid w:val="00D6365E"/>
    <w:rsid w:val="00D65719"/>
    <w:rsid w:val="00D65B90"/>
    <w:rsid w:val="00D667FD"/>
    <w:rsid w:val="00D75A68"/>
    <w:rsid w:val="00D76B0A"/>
    <w:rsid w:val="00D77E0B"/>
    <w:rsid w:val="00D826F4"/>
    <w:rsid w:val="00DA2B7E"/>
    <w:rsid w:val="00DB0B01"/>
    <w:rsid w:val="00DB4325"/>
    <w:rsid w:val="00DB546D"/>
    <w:rsid w:val="00DB6D7C"/>
    <w:rsid w:val="00DC03D5"/>
    <w:rsid w:val="00DC6DFE"/>
    <w:rsid w:val="00DC7A4B"/>
    <w:rsid w:val="00DC7E3E"/>
    <w:rsid w:val="00DD2640"/>
    <w:rsid w:val="00DD2C60"/>
    <w:rsid w:val="00DD34A5"/>
    <w:rsid w:val="00DD7AA8"/>
    <w:rsid w:val="00DE54A6"/>
    <w:rsid w:val="00DE7219"/>
    <w:rsid w:val="00DF1CDC"/>
    <w:rsid w:val="00DF2B52"/>
    <w:rsid w:val="00DF41A8"/>
    <w:rsid w:val="00E00C02"/>
    <w:rsid w:val="00E0392F"/>
    <w:rsid w:val="00E04952"/>
    <w:rsid w:val="00E068E6"/>
    <w:rsid w:val="00E07F42"/>
    <w:rsid w:val="00E10795"/>
    <w:rsid w:val="00E13154"/>
    <w:rsid w:val="00E16FEF"/>
    <w:rsid w:val="00E17D83"/>
    <w:rsid w:val="00E2108A"/>
    <w:rsid w:val="00E27A25"/>
    <w:rsid w:val="00E325C7"/>
    <w:rsid w:val="00E34678"/>
    <w:rsid w:val="00E358D5"/>
    <w:rsid w:val="00E36F28"/>
    <w:rsid w:val="00E41BE5"/>
    <w:rsid w:val="00E52972"/>
    <w:rsid w:val="00E616BD"/>
    <w:rsid w:val="00E66AE0"/>
    <w:rsid w:val="00E74D31"/>
    <w:rsid w:val="00E82656"/>
    <w:rsid w:val="00E87AD9"/>
    <w:rsid w:val="00E9025E"/>
    <w:rsid w:val="00E9180D"/>
    <w:rsid w:val="00E953BC"/>
    <w:rsid w:val="00E965AD"/>
    <w:rsid w:val="00E9703B"/>
    <w:rsid w:val="00EA537B"/>
    <w:rsid w:val="00EA5D83"/>
    <w:rsid w:val="00EA7B0B"/>
    <w:rsid w:val="00EB0C53"/>
    <w:rsid w:val="00EB1E3D"/>
    <w:rsid w:val="00EB4BC9"/>
    <w:rsid w:val="00EB4BF6"/>
    <w:rsid w:val="00EC1564"/>
    <w:rsid w:val="00EC2BA7"/>
    <w:rsid w:val="00EC3643"/>
    <w:rsid w:val="00EC3B55"/>
    <w:rsid w:val="00EC5170"/>
    <w:rsid w:val="00ED169F"/>
    <w:rsid w:val="00ED345B"/>
    <w:rsid w:val="00ED4FA6"/>
    <w:rsid w:val="00ED5169"/>
    <w:rsid w:val="00ED79A2"/>
    <w:rsid w:val="00EE4548"/>
    <w:rsid w:val="00EE4558"/>
    <w:rsid w:val="00EF048C"/>
    <w:rsid w:val="00EF23B4"/>
    <w:rsid w:val="00EF3D5A"/>
    <w:rsid w:val="00EF3E6C"/>
    <w:rsid w:val="00EF556A"/>
    <w:rsid w:val="00EF5CB8"/>
    <w:rsid w:val="00EF61BF"/>
    <w:rsid w:val="00F1010E"/>
    <w:rsid w:val="00F11526"/>
    <w:rsid w:val="00F14C42"/>
    <w:rsid w:val="00F21A09"/>
    <w:rsid w:val="00F275C1"/>
    <w:rsid w:val="00F30282"/>
    <w:rsid w:val="00F32A7C"/>
    <w:rsid w:val="00F37DE3"/>
    <w:rsid w:val="00F44F90"/>
    <w:rsid w:val="00F5734F"/>
    <w:rsid w:val="00F573D7"/>
    <w:rsid w:val="00F6699C"/>
    <w:rsid w:val="00F67842"/>
    <w:rsid w:val="00F860F6"/>
    <w:rsid w:val="00F91EDE"/>
    <w:rsid w:val="00F91FD8"/>
    <w:rsid w:val="00F9224E"/>
    <w:rsid w:val="00F94BFD"/>
    <w:rsid w:val="00FA3803"/>
    <w:rsid w:val="00FA45E0"/>
    <w:rsid w:val="00FA4C03"/>
    <w:rsid w:val="00FB111B"/>
    <w:rsid w:val="00FB56BE"/>
    <w:rsid w:val="00FB71B5"/>
    <w:rsid w:val="00FC567F"/>
    <w:rsid w:val="00FC70D1"/>
    <w:rsid w:val="00FD19C7"/>
    <w:rsid w:val="00FD7EF6"/>
    <w:rsid w:val="00FE1409"/>
    <w:rsid w:val="00FE3D0F"/>
    <w:rsid w:val="00FF3897"/>
    <w:rsid w:val="00FF4F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136B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12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9F5"/>
    <w:pPr>
      <w:spacing w:after="160"/>
      <w:jc w:val="left"/>
    </w:pPr>
    <w:rPr>
      <w:sz w:val="22"/>
      <w:szCs w:val="22"/>
    </w:rPr>
  </w:style>
  <w:style w:type="paragraph" w:styleId="Heading1">
    <w:name w:val="heading 1"/>
    <w:basedOn w:val="Normal"/>
    <w:next w:val="Normal"/>
    <w:link w:val="Heading1Char"/>
    <w:qFormat/>
    <w:rsid w:val="00373819"/>
    <w:pPr>
      <w:keepNext/>
      <w:spacing w:line="480" w:lineRule="auto"/>
      <w:outlineLvl w:val="0"/>
    </w:pPr>
    <w:rPr>
      <w:b/>
      <w:color w:val="9E0000"/>
      <w:sz w:val="32"/>
    </w:rPr>
  </w:style>
  <w:style w:type="paragraph" w:styleId="Heading2">
    <w:name w:val="heading 2"/>
    <w:basedOn w:val="Normal"/>
    <w:next w:val="Normal"/>
    <w:link w:val="Heading2Char"/>
    <w:qFormat/>
    <w:rsid w:val="00373819"/>
    <w:pPr>
      <w:keepNext/>
      <w:spacing w:before="240" w:after="60" w:line="480" w:lineRule="auto"/>
      <w:outlineLvl w:val="1"/>
    </w:pPr>
    <w:rPr>
      <w:b/>
      <w:color w:val="5F5F5F"/>
      <w:sz w:val="28"/>
    </w:rPr>
  </w:style>
  <w:style w:type="paragraph" w:styleId="Heading3">
    <w:name w:val="heading 3"/>
    <w:basedOn w:val="Normal"/>
    <w:next w:val="Normal"/>
    <w:link w:val="Heading3Char"/>
    <w:qFormat/>
    <w:rsid w:val="00373819"/>
    <w:pPr>
      <w:keepNext/>
      <w:spacing w:before="240" w:after="60" w:line="480" w:lineRule="auto"/>
      <w:outlineLvl w:val="2"/>
    </w:pPr>
    <w:rPr>
      <w:b/>
      <w:sz w:val="26"/>
    </w:rPr>
  </w:style>
  <w:style w:type="paragraph" w:styleId="Heading4">
    <w:name w:val="heading 4"/>
    <w:basedOn w:val="Normal"/>
    <w:next w:val="Normal"/>
    <w:link w:val="Heading4Char"/>
    <w:qFormat/>
    <w:rsid w:val="00373819"/>
    <w:pPr>
      <w:keepNext/>
      <w:spacing w:before="240" w:after="0" w:line="360" w:lineRule="auto"/>
      <w:outlineLvl w:val="3"/>
    </w:pPr>
    <w:rPr>
      <w:rFonts w:eastAsia="Times New Roman"/>
      <w:b/>
    </w:rPr>
  </w:style>
  <w:style w:type="paragraph" w:styleId="Heading5">
    <w:name w:val="heading 5"/>
    <w:basedOn w:val="Normal"/>
    <w:next w:val="Normal"/>
    <w:link w:val="Heading5Char"/>
    <w:qFormat/>
    <w:rsid w:val="00373819"/>
    <w:pPr>
      <w:spacing w:before="240" w:after="60" w:line="480" w:lineRule="auto"/>
      <w:outlineLvl w:val="4"/>
    </w:pPr>
    <w:rPr>
      <w:i/>
    </w:rPr>
  </w:style>
  <w:style w:type="paragraph" w:styleId="Heading6">
    <w:name w:val="heading 6"/>
    <w:basedOn w:val="Normal"/>
    <w:next w:val="Normal"/>
    <w:link w:val="Heading6Char"/>
    <w:qFormat/>
    <w:rsid w:val="00373819"/>
    <w:pPr>
      <w:keepNext/>
      <w:spacing w:line="480" w:lineRule="auto"/>
      <w:outlineLvl w:val="5"/>
    </w:pPr>
    <w:rPr>
      <w:rFonts w:eastAsia="Times New Roman"/>
      <w:b/>
    </w:rPr>
  </w:style>
  <w:style w:type="paragraph" w:styleId="Heading7">
    <w:name w:val="heading 7"/>
    <w:basedOn w:val="Normal"/>
    <w:next w:val="Normal"/>
    <w:link w:val="Heading7Char"/>
    <w:qFormat/>
    <w:rsid w:val="00373819"/>
    <w:pPr>
      <w:keepNext/>
      <w:ind w:right="-900"/>
      <w:jc w:val="both"/>
      <w:outlineLvl w:val="6"/>
    </w:pPr>
    <w:rPr>
      <w:b/>
      <w:sz w:val="20"/>
    </w:rPr>
  </w:style>
  <w:style w:type="paragraph" w:styleId="Heading8">
    <w:name w:val="heading 8"/>
    <w:basedOn w:val="Normal"/>
    <w:next w:val="Normal"/>
    <w:link w:val="Heading8Char"/>
    <w:qFormat/>
    <w:rsid w:val="00373819"/>
    <w:pPr>
      <w:keepNext/>
      <w:spacing w:line="480" w:lineRule="auto"/>
      <w:ind w:left="6" w:right="-900" w:hanging="6"/>
      <w:jc w:val="both"/>
      <w:outlineLvl w:val="7"/>
    </w:pPr>
    <w:rPr>
      <w:b/>
      <w:sz w:val="20"/>
      <w:lang w:val="en-GB"/>
    </w:rPr>
  </w:style>
  <w:style w:type="paragraph" w:styleId="Heading9">
    <w:name w:val="heading 9"/>
    <w:basedOn w:val="Normal"/>
    <w:next w:val="Normal"/>
    <w:link w:val="Heading9Char"/>
    <w:autoRedefine/>
    <w:qFormat/>
    <w:rsid w:val="00373819"/>
    <w:pPr>
      <w:keepNext/>
      <w:outlineLvl w:val="8"/>
    </w:pPr>
    <w:rPr>
      <w:b/>
      <w:lang w:val="en-GB"/>
    </w:rPr>
  </w:style>
  <w:style w:type="character" w:default="1" w:styleId="DefaultParagraphFont">
    <w:name w:val="Default Paragraph Font"/>
    <w:uiPriority w:val="1"/>
    <w:semiHidden/>
    <w:unhideWhenUsed/>
    <w:rsid w:val="00C119F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119F5"/>
  </w:style>
  <w:style w:type="character" w:customStyle="1" w:styleId="Heading1Char">
    <w:name w:val="Heading 1 Char"/>
    <w:basedOn w:val="DefaultParagraphFont"/>
    <w:link w:val="Heading1"/>
    <w:rsid w:val="00044FF9"/>
    <w:rPr>
      <w:rFonts w:ascii="Arial" w:eastAsia="Times" w:hAnsi="Arial" w:cs="Times New Roman"/>
      <w:b/>
      <w:color w:val="9E0000"/>
      <w:sz w:val="32"/>
      <w:szCs w:val="20"/>
    </w:rPr>
  </w:style>
  <w:style w:type="character" w:styleId="PlaceholderText">
    <w:name w:val="Placeholder Text"/>
    <w:basedOn w:val="DefaultParagraphFont"/>
    <w:uiPriority w:val="99"/>
    <w:semiHidden/>
    <w:rsid w:val="00537DCE"/>
    <w:rPr>
      <w:color w:val="808080"/>
    </w:rPr>
  </w:style>
  <w:style w:type="character" w:customStyle="1" w:styleId="Heading2Char">
    <w:name w:val="Heading 2 Char"/>
    <w:basedOn w:val="DefaultParagraphFont"/>
    <w:link w:val="Heading2"/>
    <w:rsid w:val="00B87E7A"/>
    <w:rPr>
      <w:rFonts w:ascii="Arial" w:eastAsia="Times" w:hAnsi="Arial" w:cs="Times New Roman"/>
      <w:b/>
      <w:color w:val="5F5F5F"/>
      <w:sz w:val="28"/>
      <w:szCs w:val="20"/>
    </w:rPr>
  </w:style>
  <w:style w:type="paragraph" w:styleId="Header">
    <w:name w:val="header"/>
    <w:basedOn w:val="Normal"/>
    <w:link w:val="HeaderChar"/>
    <w:uiPriority w:val="99"/>
    <w:unhideWhenUsed/>
    <w:rsid w:val="00993619"/>
    <w:pPr>
      <w:tabs>
        <w:tab w:val="center" w:pos="4680"/>
        <w:tab w:val="right" w:pos="9360"/>
      </w:tabs>
      <w:spacing w:after="0"/>
    </w:pPr>
  </w:style>
  <w:style w:type="character" w:customStyle="1" w:styleId="HeaderChar">
    <w:name w:val="Header Char"/>
    <w:basedOn w:val="DefaultParagraphFont"/>
    <w:link w:val="Header"/>
    <w:uiPriority w:val="99"/>
    <w:rsid w:val="00993619"/>
  </w:style>
  <w:style w:type="paragraph" w:styleId="Footer">
    <w:name w:val="footer"/>
    <w:basedOn w:val="Normal"/>
    <w:link w:val="FooterChar"/>
    <w:rsid w:val="00373819"/>
    <w:pPr>
      <w:tabs>
        <w:tab w:val="center" w:pos="4320"/>
        <w:tab w:val="right" w:pos="8640"/>
      </w:tabs>
      <w:spacing w:after="0"/>
    </w:pPr>
    <w:rPr>
      <w:rFonts w:ascii="Times New Roman" w:eastAsia="SimSun" w:hAnsi="Times New Roman"/>
      <w:szCs w:val="24"/>
      <w:lang w:eastAsia="zh-CN"/>
    </w:rPr>
  </w:style>
  <w:style w:type="character" w:customStyle="1" w:styleId="FooterChar">
    <w:name w:val="Footer Char"/>
    <w:basedOn w:val="DefaultParagraphFont"/>
    <w:link w:val="Footer"/>
    <w:rsid w:val="00993619"/>
    <w:rPr>
      <w:rFonts w:ascii="Times New Roman" w:eastAsia="SimSun" w:hAnsi="Times New Roman" w:cs="Times New Roman"/>
      <w:lang w:eastAsia="zh-CN"/>
    </w:rPr>
  </w:style>
  <w:style w:type="paragraph" w:styleId="ListParagraph">
    <w:name w:val="List Paragraph"/>
    <w:basedOn w:val="Normal"/>
    <w:uiPriority w:val="34"/>
    <w:qFormat/>
    <w:rsid w:val="00AD72BD"/>
    <w:pPr>
      <w:ind w:left="720"/>
      <w:contextualSpacing/>
    </w:pPr>
  </w:style>
  <w:style w:type="table" w:styleId="TableGrid">
    <w:name w:val="Table Grid"/>
    <w:basedOn w:val="TableNormal"/>
    <w:rsid w:val="00373819"/>
    <w:pPr>
      <w:spacing w:after="0" w:line="24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2206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22060"/>
    <w:rPr>
      <w:rFonts w:ascii="Calibri" w:hAnsi="Calibri" w:cs="Calibri"/>
      <w:noProof/>
    </w:rPr>
  </w:style>
  <w:style w:type="paragraph" w:customStyle="1" w:styleId="EndNoteBibliography">
    <w:name w:val="EndNote Bibliography"/>
    <w:basedOn w:val="Normal"/>
    <w:link w:val="EndNoteBibliographyChar"/>
    <w:rsid w:val="00022060"/>
    <w:rPr>
      <w:rFonts w:ascii="Calibri" w:hAnsi="Calibri" w:cs="Calibri"/>
      <w:noProof/>
    </w:rPr>
  </w:style>
  <w:style w:type="character" w:customStyle="1" w:styleId="EndNoteBibliographyChar">
    <w:name w:val="EndNote Bibliography Char"/>
    <w:basedOn w:val="DefaultParagraphFont"/>
    <w:link w:val="EndNoteBibliography"/>
    <w:rsid w:val="00022060"/>
    <w:rPr>
      <w:rFonts w:ascii="Calibri" w:hAnsi="Calibri" w:cs="Calibri"/>
      <w:noProof/>
    </w:rPr>
  </w:style>
  <w:style w:type="character" w:styleId="Hyperlink">
    <w:name w:val="Hyperlink"/>
    <w:basedOn w:val="DefaultParagraphFont"/>
    <w:uiPriority w:val="99"/>
    <w:unhideWhenUsed/>
    <w:rsid w:val="006E3498"/>
    <w:rPr>
      <w:color w:val="0563C1" w:themeColor="hyperlink"/>
      <w:u w:val="single"/>
    </w:rPr>
  </w:style>
  <w:style w:type="character" w:customStyle="1" w:styleId="UnresolvedMention1">
    <w:name w:val="Unresolved Mention1"/>
    <w:basedOn w:val="DefaultParagraphFont"/>
    <w:uiPriority w:val="99"/>
    <w:semiHidden/>
    <w:unhideWhenUsed/>
    <w:rsid w:val="006E3498"/>
    <w:rPr>
      <w:color w:val="605E5C"/>
      <w:shd w:val="clear" w:color="auto" w:fill="E1DFDD"/>
    </w:rPr>
  </w:style>
  <w:style w:type="paragraph" w:styleId="BalloonText">
    <w:name w:val="Balloon Text"/>
    <w:basedOn w:val="Normal"/>
    <w:link w:val="BalloonTextChar"/>
    <w:uiPriority w:val="99"/>
    <w:semiHidden/>
    <w:unhideWhenUsed/>
    <w:rsid w:val="001F271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717"/>
    <w:rPr>
      <w:rFonts w:ascii="Segoe UI" w:hAnsi="Segoe UI" w:cs="Segoe UI"/>
      <w:sz w:val="18"/>
      <w:szCs w:val="18"/>
    </w:rPr>
  </w:style>
  <w:style w:type="character" w:customStyle="1" w:styleId="Heading3Char">
    <w:name w:val="Heading 3 Char"/>
    <w:basedOn w:val="DefaultParagraphFont"/>
    <w:link w:val="Heading3"/>
    <w:rsid w:val="00B601C2"/>
    <w:rPr>
      <w:rFonts w:ascii="Arial" w:eastAsia="Times" w:hAnsi="Arial" w:cs="Times New Roman"/>
      <w:b/>
      <w:sz w:val="26"/>
      <w:szCs w:val="20"/>
    </w:rPr>
  </w:style>
  <w:style w:type="character" w:customStyle="1" w:styleId="Heading4Char">
    <w:name w:val="Heading 4 Char"/>
    <w:basedOn w:val="DefaultParagraphFont"/>
    <w:link w:val="Heading4"/>
    <w:rsid w:val="000454AE"/>
    <w:rPr>
      <w:rFonts w:ascii="Arial" w:eastAsia="Times New Roman" w:hAnsi="Arial" w:cs="Times New Roman"/>
      <w:b/>
      <w:szCs w:val="20"/>
    </w:rPr>
  </w:style>
  <w:style w:type="character" w:customStyle="1" w:styleId="Heading5Char">
    <w:name w:val="Heading 5 Char"/>
    <w:basedOn w:val="DefaultParagraphFont"/>
    <w:link w:val="Heading5"/>
    <w:rsid w:val="000454AE"/>
    <w:rPr>
      <w:rFonts w:ascii="Arial" w:eastAsia="Times" w:hAnsi="Arial" w:cs="Times New Roman"/>
      <w:i/>
      <w:szCs w:val="20"/>
    </w:rPr>
  </w:style>
  <w:style w:type="character" w:customStyle="1" w:styleId="Heading6Char">
    <w:name w:val="Heading 6 Char"/>
    <w:basedOn w:val="DefaultParagraphFont"/>
    <w:link w:val="Heading6"/>
    <w:rsid w:val="000454AE"/>
    <w:rPr>
      <w:rFonts w:ascii="Arial" w:eastAsia="Times New Roman" w:hAnsi="Arial" w:cs="Times New Roman"/>
      <w:b/>
      <w:sz w:val="22"/>
      <w:szCs w:val="20"/>
    </w:rPr>
  </w:style>
  <w:style w:type="character" w:customStyle="1" w:styleId="Heading7Char">
    <w:name w:val="Heading 7 Char"/>
    <w:basedOn w:val="DefaultParagraphFont"/>
    <w:link w:val="Heading7"/>
    <w:rsid w:val="000454AE"/>
    <w:rPr>
      <w:rFonts w:ascii="Arial" w:eastAsia="Times" w:hAnsi="Arial" w:cs="Times New Roman"/>
      <w:b/>
      <w:sz w:val="20"/>
      <w:szCs w:val="20"/>
    </w:rPr>
  </w:style>
  <w:style w:type="character" w:customStyle="1" w:styleId="Heading8Char">
    <w:name w:val="Heading 8 Char"/>
    <w:basedOn w:val="DefaultParagraphFont"/>
    <w:link w:val="Heading8"/>
    <w:rsid w:val="000454AE"/>
    <w:rPr>
      <w:rFonts w:ascii="Arial" w:eastAsia="Times" w:hAnsi="Arial" w:cs="Times New Roman"/>
      <w:b/>
      <w:sz w:val="20"/>
      <w:szCs w:val="20"/>
      <w:lang w:val="en-GB"/>
    </w:rPr>
  </w:style>
  <w:style w:type="character" w:customStyle="1" w:styleId="Heading9Char">
    <w:name w:val="Heading 9 Char"/>
    <w:basedOn w:val="DefaultParagraphFont"/>
    <w:link w:val="Heading9"/>
    <w:rsid w:val="000454AE"/>
    <w:rPr>
      <w:rFonts w:ascii="Arial" w:eastAsia="Times" w:hAnsi="Arial" w:cs="Times New Roman"/>
      <w:b/>
      <w:szCs w:val="20"/>
      <w:lang w:val="en-GB"/>
    </w:rPr>
  </w:style>
  <w:style w:type="paragraph" w:styleId="FootnoteText">
    <w:name w:val="footnote text"/>
    <w:basedOn w:val="Normal"/>
    <w:link w:val="FootnoteTextChar"/>
    <w:uiPriority w:val="99"/>
    <w:semiHidden/>
    <w:unhideWhenUsed/>
    <w:rsid w:val="00D826F4"/>
    <w:pPr>
      <w:spacing w:after="0"/>
    </w:pPr>
    <w:rPr>
      <w:sz w:val="20"/>
    </w:rPr>
  </w:style>
  <w:style w:type="character" w:customStyle="1" w:styleId="FootnoteTextChar">
    <w:name w:val="Footnote Text Char"/>
    <w:basedOn w:val="DefaultParagraphFont"/>
    <w:link w:val="FootnoteText"/>
    <w:uiPriority w:val="99"/>
    <w:semiHidden/>
    <w:rsid w:val="00D826F4"/>
    <w:rPr>
      <w:sz w:val="20"/>
      <w:szCs w:val="20"/>
    </w:rPr>
  </w:style>
  <w:style w:type="character" w:styleId="FootnoteReference">
    <w:name w:val="footnote reference"/>
    <w:basedOn w:val="DefaultParagraphFont"/>
    <w:uiPriority w:val="99"/>
    <w:semiHidden/>
    <w:unhideWhenUsed/>
    <w:rsid w:val="00D826F4"/>
    <w:rPr>
      <w:vertAlign w:val="superscript"/>
    </w:rPr>
  </w:style>
  <w:style w:type="character" w:styleId="FollowedHyperlink">
    <w:name w:val="FollowedHyperlink"/>
    <w:basedOn w:val="DefaultParagraphFont"/>
    <w:uiPriority w:val="99"/>
    <w:semiHidden/>
    <w:unhideWhenUsed/>
    <w:rsid w:val="00555CB4"/>
    <w:rPr>
      <w:color w:val="954F72" w:themeColor="followedHyperlink"/>
      <w:u w:val="single"/>
    </w:rPr>
  </w:style>
  <w:style w:type="character" w:styleId="CommentReference">
    <w:name w:val="annotation reference"/>
    <w:basedOn w:val="DefaultParagraphFont"/>
    <w:uiPriority w:val="99"/>
    <w:semiHidden/>
    <w:unhideWhenUsed/>
    <w:rsid w:val="00546DA7"/>
    <w:rPr>
      <w:sz w:val="16"/>
      <w:szCs w:val="16"/>
    </w:rPr>
  </w:style>
  <w:style w:type="paragraph" w:styleId="CommentText">
    <w:name w:val="annotation text"/>
    <w:basedOn w:val="Normal"/>
    <w:link w:val="CommentTextChar"/>
    <w:uiPriority w:val="99"/>
    <w:semiHidden/>
    <w:unhideWhenUsed/>
    <w:rsid w:val="00546DA7"/>
    <w:rPr>
      <w:sz w:val="20"/>
    </w:rPr>
  </w:style>
  <w:style w:type="character" w:customStyle="1" w:styleId="CommentTextChar">
    <w:name w:val="Comment Text Char"/>
    <w:basedOn w:val="DefaultParagraphFont"/>
    <w:link w:val="CommentText"/>
    <w:uiPriority w:val="99"/>
    <w:semiHidden/>
    <w:rsid w:val="00546DA7"/>
    <w:rPr>
      <w:sz w:val="20"/>
      <w:szCs w:val="20"/>
    </w:rPr>
  </w:style>
  <w:style w:type="paragraph" w:styleId="CommentSubject">
    <w:name w:val="annotation subject"/>
    <w:basedOn w:val="CommentText"/>
    <w:next w:val="CommentText"/>
    <w:link w:val="CommentSubjectChar"/>
    <w:uiPriority w:val="99"/>
    <w:semiHidden/>
    <w:unhideWhenUsed/>
    <w:rsid w:val="00546DA7"/>
    <w:rPr>
      <w:b/>
      <w:bCs/>
    </w:rPr>
  </w:style>
  <w:style w:type="character" w:customStyle="1" w:styleId="CommentSubjectChar">
    <w:name w:val="Comment Subject Char"/>
    <w:basedOn w:val="CommentTextChar"/>
    <w:link w:val="CommentSubject"/>
    <w:uiPriority w:val="99"/>
    <w:semiHidden/>
    <w:rsid w:val="00546DA7"/>
    <w:rPr>
      <w:b/>
      <w:bCs/>
      <w:sz w:val="20"/>
      <w:szCs w:val="20"/>
    </w:rPr>
  </w:style>
  <w:style w:type="character" w:customStyle="1" w:styleId="UnresolvedMention2">
    <w:name w:val="Unresolved Mention2"/>
    <w:basedOn w:val="DefaultParagraphFont"/>
    <w:uiPriority w:val="99"/>
    <w:semiHidden/>
    <w:unhideWhenUsed/>
    <w:rsid w:val="00FB71B5"/>
    <w:rPr>
      <w:color w:val="605E5C"/>
      <w:shd w:val="clear" w:color="auto" w:fill="E1DFDD"/>
    </w:rPr>
  </w:style>
  <w:style w:type="paragraph" w:styleId="Revision">
    <w:name w:val="Revision"/>
    <w:hidden/>
    <w:uiPriority w:val="99"/>
    <w:semiHidden/>
    <w:rsid w:val="00BE01C8"/>
    <w:pPr>
      <w:spacing w:after="0" w:line="240" w:lineRule="auto"/>
      <w:jc w:val="left"/>
    </w:pPr>
  </w:style>
  <w:style w:type="paragraph" w:customStyle="1" w:styleId="Reference">
    <w:name w:val="Reference"/>
    <w:basedOn w:val="Normal"/>
    <w:next w:val="Normal"/>
    <w:rsid w:val="00373819"/>
    <w:rPr>
      <w:sz w:val="20"/>
    </w:rPr>
  </w:style>
  <w:style w:type="paragraph" w:customStyle="1" w:styleId="Comment">
    <w:name w:val="Comment"/>
    <w:basedOn w:val="Normal"/>
    <w:next w:val="Normal"/>
    <w:rsid w:val="00373819"/>
    <w:pPr>
      <w:shd w:val="clear" w:color="auto" w:fill="FFFF00"/>
      <w:spacing w:before="120"/>
    </w:pPr>
    <w:rPr>
      <w:sz w:val="20"/>
    </w:rPr>
  </w:style>
  <w:style w:type="paragraph" w:customStyle="1" w:styleId="Blockquote">
    <w:name w:val="Blockquote"/>
    <w:basedOn w:val="Normal"/>
    <w:next w:val="Normal"/>
    <w:rsid w:val="00373819"/>
    <w:pPr>
      <w:pBdr>
        <w:top w:val="single" w:sz="2" w:space="1" w:color="C0C0C0"/>
        <w:left w:val="single" w:sz="2" w:space="4" w:color="C0C0C0"/>
        <w:bottom w:val="single" w:sz="2" w:space="1" w:color="C0C0C0"/>
        <w:right w:val="single" w:sz="2" w:space="4" w:color="C0C0C0"/>
      </w:pBdr>
      <w:shd w:val="clear" w:color="auto" w:fill="FFFFDD"/>
      <w:spacing w:before="120"/>
      <w:ind w:left="720"/>
    </w:pPr>
    <w:rPr>
      <w:rFonts w:ascii="Times New Roman" w:hAnsi="Times New Roman"/>
    </w:rPr>
  </w:style>
  <w:style w:type="paragraph" w:customStyle="1" w:styleId="Preformatted">
    <w:name w:val="Preformatted"/>
    <w:basedOn w:val="Normal"/>
    <w:next w:val="Normal"/>
    <w:rsid w:val="00373819"/>
    <w:pPr>
      <w:pBdr>
        <w:top w:val="single" w:sz="2" w:space="1" w:color="auto"/>
        <w:left w:val="single" w:sz="2" w:space="4" w:color="auto"/>
        <w:bottom w:val="single" w:sz="2" w:space="1" w:color="auto"/>
        <w:right w:val="single" w:sz="2" w:space="4" w:color="auto"/>
      </w:pBdr>
      <w:shd w:val="clear" w:color="auto" w:fill="F3F3F3"/>
      <w:spacing w:after="0"/>
    </w:pPr>
    <w:rPr>
      <w:rFonts w:ascii="Courier New" w:hAnsi="Courier New"/>
      <w:color w:val="333333"/>
      <w:sz w:val="20"/>
    </w:rPr>
  </w:style>
  <w:style w:type="paragraph" w:customStyle="1" w:styleId="AbstractHeader">
    <w:name w:val="Abstract Header"/>
    <w:basedOn w:val="Heading2"/>
    <w:next w:val="Normal"/>
    <w:rsid w:val="00373819"/>
  </w:style>
  <w:style w:type="paragraph" w:customStyle="1" w:styleId="Boxnumberandcaption">
    <w:name w:val="Box number and caption"/>
    <w:basedOn w:val="Heading3"/>
    <w:next w:val="Normal"/>
    <w:rsid w:val="00373819"/>
    <w:pPr>
      <w:shd w:val="clear" w:color="auto" w:fill="E6E6E6"/>
      <w:spacing w:before="120"/>
    </w:pPr>
    <w:rPr>
      <w:color w:val="666666"/>
      <w:sz w:val="24"/>
      <w:szCs w:val="28"/>
    </w:rPr>
  </w:style>
  <w:style w:type="paragraph" w:customStyle="1" w:styleId="Figurenumberandcaption">
    <w:name w:val="Figure number and caption"/>
    <w:basedOn w:val="Normal"/>
    <w:next w:val="Normal"/>
    <w:rsid w:val="00373819"/>
    <w:pPr>
      <w:spacing w:before="120"/>
    </w:pPr>
    <w:rPr>
      <w:color w:val="000080"/>
    </w:rPr>
  </w:style>
  <w:style w:type="paragraph" w:customStyle="1" w:styleId="Tablenumberandcaption">
    <w:name w:val="Table number and caption"/>
    <w:basedOn w:val="Normal"/>
    <w:next w:val="Normal"/>
    <w:rsid w:val="00373819"/>
    <w:pPr>
      <w:spacing w:before="120"/>
    </w:pPr>
    <w:rPr>
      <w:b/>
      <w:color w:val="006600"/>
    </w:rPr>
  </w:style>
  <w:style w:type="paragraph" w:customStyle="1" w:styleId="Tableheader">
    <w:name w:val="Table header"/>
    <w:basedOn w:val="Normal"/>
    <w:next w:val="Normal"/>
    <w:rsid w:val="00373819"/>
    <w:pPr>
      <w:spacing w:after="0"/>
    </w:pPr>
    <w:rPr>
      <w:b/>
      <w:sz w:val="20"/>
    </w:rPr>
  </w:style>
  <w:style w:type="paragraph" w:customStyle="1" w:styleId="Tablebody">
    <w:name w:val="Table body"/>
    <w:basedOn w:val="Normal"/>
    <w:next w:val="Normal"/>
    <w:rsid w:val="00373819"/>
    <w:pPr>
      <w:spacing w:after="0"/>
    </w:pPr>
    <w:rPr>
      <w:sz w:val="20"/>
    </w:rPr>
  </w:style>
  <w:style w:type="paragraph" w:customStyle="1" w:styleId="Tablefooter">
    <w:name w:val="Table footer"/>
    <w:basedOn w:val="Normal"/>
    <w:next w:val="Normal"/>
    <w:rsid w:val="00373819"/>
    <w:pPr>
      <w:spacing w:after="0"/>
    </w:pPr>
    <w:rPr>
      <w:sz w:val="18"/>
    </w:rPr>
  </w:style>
  <w:style w:type="paragraph" w:customStyle="1" w:styleId="Alternateheading">
    <w:name w:val="Alternate heading"/>
    <w:basedOn w:val="Normal"/>
    <w:next w:val="Normal"/>
    <w:rsid w:val="00373819"/>
    <w:rPr>
      <w:b/>
      <w:color w:val="800080"/>
    </w:rPr>
  </w:style>
  <w:style w:type="paragraph" w:customStyle="1" w:styleId="Boxsubhead">
    <w:name w:val="Box subhead"/>
    <w:basedOn w:val="Heading4"/>
    <w:next w:val="Normal"/>
    <w:rsid w:val="00373819"/>
    <w:rPr>
      <w:color w:val="808080"/>
    </w:rPr>
  </w:style>
  <w:style w:type="paragraph" w:customStyle="1" w:styleId="Answer">
    <w:name w:val="Answer"/>
    <w:basedOn w:val="Normal"/>
    <w:next w:val="Normal"/>
    <w:rsid w:val="00373819"/>
    <w:pPr>
      <w:pBdr>
        <w:top w:val="single" w:sz="4" w:space="1" w:color="FFFFFF"/>
        <w:left w:val="single" w:sz="4" w:space="4" w:color="FFFFFF"/>
        <w:bottom w:val="single" w:sz="4" w:space="1" w:color="FFFFFF"/>
        <w:right w:val="single" w:sz="4" w:space="4" w:color="FFFFFF"/>
      </w:pBdr>
      <w:shd w:val="clear" w:color="auto" w:fill="ECFEDA"/>
    </w:pPr>
    <w:rPr>
      <w:rFonts w:ascii="Times New Roman" w:hAnsi="Times New Roman"/>
      <w:color w:val="800000"/>
    </w:rPr>
  </w:style>
  <w:style w:type="paragraph" w:customStyle="1" w:styleId="Question">
    <w:name w:val="Question"/>
    <w:basedOn w:val="Normal"/>
    <w:next w:val="Normal"/>
    <w:rsid w:val="00373819"/>
    <w:pPr>
      <w:pBdr>
        <w:top w:val="single" w:sz="4" w:space="1" w:color="FFFFFF"/>
        <w:left w:val="single" w:sz="4" w:space="4" w:color="FFFFFF"/>
        <w:bottom w:val="single" w:sz="4" w:space="1" w:color="FFFFFF"/>
        <w:right w:val="single" w:sz="4" w:space="4" w:color="FFFFFF"/>
      </w:pBdr>
      <w:shd w:val="clear" w:color="auto" w:fill="E9E6EE"/>
    </w:pPr>
    <w:rPr>
      <w:rFonts w:ascii="Verdana" w:hAnsi="Verdana"/>
      <w:color w:val="333399"/>
    </w:rPr>
  </w:style>
  <w:style w:type="character" w:customStyle="1" w:styleId="nc-highlight">
    <w:name w:val="nc-highlight"/>
    <w:rsid w:val="00373819"/>
    <w:rPr>
      <w:bdr w:val="none" w:sz="0" w:space="0" w:color="auto"/>
      <w:shd w:val="clear" w:color="auto" w:fill="FFFF93"/>
    </w:rPr>
  </w:style>
  <w:style w:type="character" w:customStyle="1" w:styleId="nc-pageobject">
    <w:name w:val="nc-pageobject"/>
    <w:rsid w:val="00373819"/>
    <w:rPr>
      <w:color w:val="993366"/>
      <w:bdr w:val="none" w:sz="0" w:space="0" w:color="auto"/>
      <w:shd w:val="clear" w:color="auto" w:fill="FFF0E1"/>
    </w:rPr>
  </w:style>
  <w:style w:type="character" w:customStyle="1" w:styleId="LabelorNumber">
    <w:name w:val="Label or Number"/>
    <w:rsid w:val="00373819"/>
    <w:rPr>
      <w:rFonts w:ascii="Arial" w:hAnsi="Arial"/>
      <w:color w:val="auto"/>
      <w:sz w:val="22"/>
      <w:bdr w:val="none" w:sz="0" w:space="0" w:color="auto"/>
      <w:shd w:val="clear" w:color="auto" w:fill="33CCCC"/>
    </w:rPr>
  </w:style>
  <w:style w:type="paragraph" w:styleId="DocumentMap">
    <w:name w:val="Document Map"/>
    <w:basedOn w:val="Normal"/>
    <w:link w:val="DocumentMapChar"/>
    <w:semiHidden/>
    <w:rsid w:val="00373819"/>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B07518"/>
    <w:rPr>
      <w:rFonts w:ascii="Tahoma" w:eastAsia="Times" w:hAnsi="Tahoma" w:cs="Tahoma"/>
      <w:sz w:val="20"/>
      <w:szCs w:val="20"/>
      <w:shd w:val="clear" w:color="auto" w:fill="000080"/>
    </w:rPr>
  </w:style>
  <w:style w:type="paragraph" w:customStyle="1" w:styleId="Processinginstruction">
    <w:name w:val="Processing instruction"/>
    <w:basedOn w:val="Normal"/>
    <w:next w:val="Normal"/>
    <w:rsid w:val="00373819"/>
    <w:pPr>
      <w:shd w:val="clear" w:color="auto" w:fill="D6FF61"/>
    </w:pPr>
    <w:rPr>
      <w:rFonts w:ascii="Courier New" w:hAnsi="Courier New"/>
      <w:color w:val="000080"/>
    </w:rPr>
  </w:style>
  <w:style w:type="paragraph" w:customStyle="1" w:styleId="Equation">
    <w:name w:val="Equation"/>
    <w:basedOn w:val="Normal"/>
    <w:rsid w:val="00373819"/>
    <w:pPr>
      <w:jc w:val="center"/>
    </w:pPr>
    <w:rPr>
      <w:rFonts w:eastAsia="Times New Roman"/>
      <w:color w:val="333398"/>
    </w:rPr>
  </w:style>
  <w:style w:type="paragraph" w:customStyle="1" w:styleId="Figuregraphic">
    <w:name w:val="Figure graphic"/>
    <w:basedOn w:val="Normal"/>
    <w:rsid w:val="00373819"/>
    <w:pPr>
      <w:autoSpaceDE w:val="0"/>
      <w:autoSpaceDN w:val="0"/>
      <w:adjustRightInd w:val="0"/>
    </w:pPr>
    <w:rPr>
      <w:rFonts w:eastAsia="Times New Roman"/>
      <w:szCs w:val="24"/>
    </w:rPr>
  </w:style>
  <w:style w:type="paragraph" w:customStyle="1" w:styleId="Keywords">
    <w:name w:val="Keywords"/>
    <w:basedOn w:val="Normal"/>
    <w:rsid w:val="00373819"/>
    <w:rPr>
      <w:rFonts w:eastAsia="Times New Roman"/>
      <w:color w:val="000080"/>
    </w:rPr>
  </w:style>
  <w:style w:type="character" w:customStyle="1" w:styleId="Processinginstructionchar">
    <w:name w:val="Processing instruction char"/>
    <w:qFormat/>
    <w:rsid w:val="00373819"/>
    <w:rPr>
      <w:rFonts w:ascii="Courier New" w:hAnsi="Courier New"/>
      <w:sz w:val="18"/>
      <w:bdr w:val="none" w:sz="0" w:space="0" w:color="auto"/>
      <w:shd w:val="clear" w:color="auto" w:fill="D99594"/>
    </w:rPr>
  </w:style>
  <w:style w:type="character" w:customStyle="1" w:styleId="nc-highlight-1">
    <w:name w:val="nc-highlight-1"/>
    <w:qFormat/>
    <w:rsid w:val="00373819"/>
    <w:rPr>
      <w:rFonts w:ascii="Arial" w:hAnsi="Arial"/>
      <w:color w:val="FFFFFF"/>
      <w:sz w:val="24"/>
      <w:bdr w:val="none" w:sz="0" w:space="0" w:color="auto"/>
      <w:shd w:val="solid" w:color="0070C0" w:fill="0070C0"/>
    </w:rPr>
  </w:style>
  <w:style w:type="paragraph" w:styleId="Subtitle">
    <w:name w:val="Subtitle"/>
    <w:basedOn w:val="Normal"/>
    <w:link w:val="SubtitleChar"/>
    <w:qFormat/>
    <w:rsid w:val="00373819"/>
    <w:pPr>
      <w:keepNext/>
      <w:spacing w:before="240" w:after="60" w:line="480" w:lineRule="auto"/>
      <w:outlineLvl w:val="1"/>
    </w:pPr>
    <w:rPr>
      <w:rFonts w:eastAsia="Times New Roman" w:cs="Arial"/>
      <w:b/>
      <w:kern w:val="28"/>
      <w:szCs w:val="24"/>
      <w:u w:val="single"/>
    </w:rPr>
  </w:style>
  <w:style w:type="character" w:customStyle="1" w:styleId="SubtitleChar">
    <w:name w:val="Subtitle Char"/>
    <w:link w:val="Subtitle"/>
    <w:rsid w:val="00373819"/>
    <w:rPr>
      <w:rFonts w:ascii="Arial" w:eastAsia="Times New Roman" w:hAnsi="Arial" w:cs="Arial"/>
      <w:b/>
      <w:kern w:val="28"/>
      <w:u w:val="single"/>
    </w:rPr>
  </w:style>
  <w:style w:type="paragraph" w:customStyle="1" w:styleId="Abstract">
    <w:name w:val="Abstract"/>
    <w:basedOn w:val="Normal"/>
    <w:next w:val="Normal"/>
    <w:rsid w:val="00373819"/>
    <w:rPr>
      <w:rFonts w:eastAsia="Times New Roman"/>
    </w:rPr>
  </w:style>
  <w:style w:type="paragraph" w:customStyle="1" w:styleId="Boxcontent">
    <w:name w:val="Boxcontent"/>
    <w:basedOn w:val="Normal"/>
    <w:rsid w:val="00373819"/>
    <w:rPr>
      <w:rFonts w:eastAsia="Times New Roman"/>
    </w:rPr>
  </w:style>
  <w:style w:type="character" w:customStyle="1" w:styleId="nc-highlight-2">
    <w:name w:val="nc-highlight-2"/>
    <w:qFormat/>
    <w:rsid w:val="00373819"/>
    <w:rPr>
      <w:rFonts w:ascii="Arial" w:hAnsi="Arial"/>
      <w:color w:val="FFFFFF"/>
      <w:bdr w:val="none" w:sz="0" w:space="0" w:color="auto"/>
      <w:shd w:val="solid" w:color="663300" w:fill="663300"/>
    </w:rPr>
  </w:style>
  <w:style w:type="paragraph" w:customStyle="1" w:styleId="Structuredabstractheading">
    <w:name w:val="Structured abstract heading"/>
    <w:basedOn w:val="Normal"/>
    <w:next w:val="Normal"/>
    <w:rsid w:val="00373819"/>
    <w:pPr>
      <w:keepNext/>
      <w:spacing w:before="240" w:after="60" w:line="480" w:lineRule="auto"/>
      <w:outlineLvl w:val="2"/>
    </w:pPr>
    <w:rPr>
      <w:rFonts w:eastAsia="Times New Roman"/>
      <w:b/>
      <w:kern w:val="28"/>
      <w:sz w:val="26"/>
      <w:szCs w:val="24"/>
    </w:rPr>
  </w:style>
  <w:style w:type="character" w:customStyle="1" w:styleId="nc-highlight-3">
    <w:name w:val="nc-highlight-3"/>
    <w:qFormat/>
    <w:rsid w:val="00373819"/>
    <w:rPr>
      <w:rFonts w:ascii="Arial" w:hAnsi="Arial"/>
      <w:color w:val="FFFFFF"/>
      <w:sz w:val="24"/>
      <w:bdr w:val="none" w:sz="0" w:space="0" w:color="auto"/>
      <w:shd w:val="solid" w:color="A6A6A6" w:fill="A6A6A6"/>
    </w:rPr>
  </w:style>
  <w:style w:type="character" w:customStyle="1" w:styleId="nc-highlight-4">
    <w:name w:val="nc-highlight-4"/>
    <w:qFormat/>
    <w:rsid w:val="00373819"/>
    <w:rPr>
      <w:rFonts w:ascii="Arial" w:hAnsi="Arial"/>
      <w:color w:val="FFFFFF"/>
      <w:sz w:val="24"/>
      <w:bdr w:val="none" w:sz="0" w:space="0" w:color="auto"/>
      <w:shd w:val="solid" w:color="CC9900" w:fill="CC9900"/>
    </w:rPr>
  </w:style>
  <w:style w:type="character" w:customStyle="1" w:styleId="nc-highlight-5">
    <w:name w:val="nc-highlight-5"/>
    <w:qFormat/>
    <w:rsid w:val="00373819"/>
    <w:rPr>
      <w:rFonts w:ascii="Arial" w:hAnsi="Arial"/>
      <w:color w:val="FFFFFF"/>
      <w:sz w:val="24"/>
      <w:bdr w:val="none" w:sz="0" w:space="0" w:color="auto"/>
      <w:shd w:val="solid" w:color="000000" w:fill="000000"/>
    </w:rPr>
  </w:style>
  <w:style w:type="paragraph" w:customStyle="1" w:styleId="Listcontinued">
    <w:name w:val="List continued"/>
    <w:basedOn w:val="List"/>
    <w:rsid w:val="00373819"/>
    <w:pPr>
      <w:ind w:left="907" w:firstLine="0"/>
      <w:contextualSpacing w:val="0"/>
    </w:pPr>
    <w:rPr>
      <w:rFonts w:eastAsia="Times New Roman"/>
    </w:rPr>
  </w:style>
  <w:style w:type="paragraph" w:styleId="List">
    <w:name w:val="List"/>
    <w:basedOn w:val="Normal"/>
    <w:semiHidden/>
    <w:unhideWhenUsed/>
    <w:rsid w:val="00373819"/>
    <w:pPr>
      <w:ind w:left="360" w:hanging="360"/>
      <w:contextualSpacing/>
    </w:pPr>
  </w:style>
  <w:style w:type="paragraph" w:customStyle="1" w:styleId="FiguresTablesBoxesSectionHeading">
    <w:name w:val="Figures Tables Boxes Section Heading"/>
    <w:basedOn w:val="Heading2"/>
    <w:next w:val="Normal"/>
    <w:rsid w:val="00373819"/>
    <w:rPr>
      <w:rFonts w:ascii="Verdana" w:hAnsi="Verdana"/>
      <w:color w:val="A50021"/>
      <w:sz w:val="24"/>
    </w:rPr>
  </w:style>
  <w:style w:type="paragraph" w:customStyle="1" w:styleId="Glossarydefinition">
    <w:name w:val="Glossary definition"/>
    <w:basedOn w:val="Normal"/>
    <w:rsid w:val="00373819"/>
    <w:pPr>
      <w:shd w:val="clear" w:color="auto" w:fill="FDE4BF"/>
    </w:pPr>
    <w:rPr>
      <w:color w:val="0033CC"/>
    </w:rPr>
  </w:style>
  <w:style w:type="paragraph" w:customStyle="1" w:styleId="Glossaryterm">
    <w:name w:val="Glossary term"/>
    <w:basedOn w:val="Normal"/>
    <w:next w:val="Glossarydefinition"/>
    <w:rsid w:val="00373819"/>
    <w:pPr>
      <w:shd w:val="clear" w:color="auto" w:fill="CCFFFF"/>
    </w:pPr>
    <w:rPr>
      <w:b/>
    </w:rPr>
  </w:style>
  <w:style w:type="character" w:customStyle="1" w:styleId="monospace">
    <w:name w:val="monospace"/>
    <w:basedOn w:val="DefaultParagraphFont"/>
    <w:uiPriority w:val="1"/>
    <w:qFormat/>
    <w:rsid w:val="00373819"/>
    <w:rPr>
      <w:rFonts w:ascii="Courier New" w:hAnsi="Courier New"/>
      <w:color w:val="auto"/>
      <w:sz w:val="20"/>
      <w:bdr w:val="none" w:sz="0" w:space="0" w:color="auto"/>
      <w:shd w:val="clear" w:color="auto" w:fill="D9D9D9" w:themeFill="background1" w:themeFillShade="D9"/>
    </w:rPr>
  </w:style>
  <w:style w:type="paragraph" w:customStyle="1" w:styleId="Bulletedlist1">
    <w:name w:val="Bulletedlist1"/>
    <w:basedOn w:val="Normal"/>
    <w:rsid w:val="00373819"/>
    <w:pPr>
      <w:numPr>
        <w:numId w:val="39"/>
      </w:numPr>
    </w:pPr>
    <w:rPr>
      <w:rFonts w:eastAsia="Times New Roman"/>
    </w:rPr>
  </w:style>
  <w:style w:type="paragraph" w:customStyle="1" w:styleId="Bulletedlist2">
    <w:name w:val="Bulletedlist2"/>
    <w:basedOn w:val="Bulletedlist1"/>
    <w:rsid w:val="00373819"/>
    <w:pPr>
      <w:numPr>
        <w:ilvl w:val="1"/>
      </w:numPr>
    </w:pPr>
  </w:style>
  <w:style w:type="paragraph" w:customStyle="1" w:styleId="Bulletedlist3">
    <w:name w:val="Bulletedlist3"/>
    <w:basedOn w:val="Bulletedlist2"/>
    <w:rsid w:val="00373819"/>
    <w:pPr>
      <w:numPr>
        <w:ilvl w:val="2"/>
      </w:numPr>
    </w:pPr>
  </w:style>
  <w:style w:type="paragraph" w:customStyle="1" w:styleId="Bulletedlist4">
    <w:name w:val="Bulletedlist4"/>
    <w:basedOn w:val="Bulletedlist3"/>
    <w:rsid w:val="00373819"/>
    <w:pPr>
      <w:numPr>
        <w:ilvl w:val="3"/>
      </w:numPr>
    </w:pPr>
  </w:style>
  <w:style w:type="paragraph" w:customStyle="1" w:styleId="Bulletedlist5">
    <w:name w:val="Bulletedlist5"/>
    <w:basedOn w:val="Bulletedlist4"/>
    <w:rsid w:val="00373819"/>
    <w:pPr>
      <w:numPr>
        <w:ilvl w:val="4"/>
      </w:numPr>
    </w:pPr>
  </w:style>
  <w:style w:type="paragraph" w:customStyle="1" w:styleId="Figurecopyrightstatement">
    <w:name w:val="Figure copyright statement"/>
    <w:basedOn w:val="Normal"/>
    <w:rsid w:val="00373819"/>
    <w:rPr>
      <w:rFonts w:ascii="Times New Roman" w:eastAsia="Times New Roman" w:hAnsi="Times New Roman"/>
      <w:b/>
      <w:color w:val="943634"/>
      <w:sz w:val="20"/>
    </w:rPr>
  </w:style>
  <w:style w:type="paragraph" w:customStyle="1" w:styleId="Figurelicensestatement">
    <w:name w:val="Figure license statement"/>
    <w:basedOn w:val="Normal"/>
    <w:rsid w:val="00373819"/>
    <w:rPr>
      <w:rFonts w:ascii="Times New Roman" w:eastAsia="Times New Roman" w:hAnsi="Times New Roman"/>
      <w:b/>
      <w:color w:val="76923C"/>
      <w:sz w:val="20"/>
    </w:rPr>
  </w:style>
  <w:style w:type="paragraph" w:customStyle="1" w:styleId="Listcontinued2">
    <w:name w:val="List continued2"/>
    <w:basedOn w:val="Normal"/>
    <w:rsid w:val="00373819"/>
    <w:pPr>
      <w:autoSpaceDE w:val="0"/>
      <w:autoSpaceDN w:val="0"/>
      <w:adjustRightInd w:val="0"/>
      <w:ind w:left="1440"/>
    </w:pPr>
    <w:rPr>
      <w:rFonts w:eastAsia="Times New Roman"/>
      <w:szCs w:val="24"/>
    </w:rPr>
  </w:style>
  <w:style w:type="paragraph" w:customStyle="1" w:styleId="Listcontinued3">
    <w:name w:val="List continued3"/>
    <w:basedOn w:val="Normal"/>
    <w:rsid w:val="00373819"/>
    <w:pPr>
      <w:autoSpaceDE w:val="0"/>
      <w:autoSpaceDN w:val="0"/>
      <w:adjustRightInd w:val="0"/>
      <w:ind w:left="2160"/>
    </w:pPr>
    <w:rPr>
      <w:rFonts w:eastAsia="Times New Roman"/>
      <w:szCs w:val="24"/>
    </w:rPr>
  </w:style>
  <w:style w:type="paragraph" w:customStyle="1" w:styleId="Listcontinued4">
    <w:name w:val="List continued4"/>
    <w:basedOn w:val="Normal"/>
    <w:rsid w:val="00373819"/>
    <w:pPr>
      <w:autoSpaceDE w:val="0"/>
      <w:autoSpaceDN w:val="0"/>
      <w:adjustRightInd w:val="0"/>
      <w:ind w:left="2880"/>
    </w:pPr>
    <w:rPr>
      <w:rFonts w:eastAsia="Times New Roman"/>
      <w:szCs w:val="24"/>
    </w:rPr>
  </w:style>
  <w:style w:type="paragraph" w:customStyle="1" w:styleId="Listcontinued5">
    <w:name w:val="List continued5"/>
    <w:basedOn w:val="Normal"/>
    <w:rsid w:val="00373819"/>
    <w:pPr>
      <w:autoSpaceDE w:val="0"/>
      <w:autoSpaceDN w:val="0"/>
      <w:adjustRightInd w:val="0"/>
      <w:ind w:left="3600"/>
    </w:pPr>
    <w:rPr>
      <w:rFonts w:eastAsia="Times New Roman"/>
      <w:szCs w:val="24"/>
    </w:rPr>
  </w:style>
  <w:style w:type="paragraph" w:customStyle="1" w:styleId="Numberedlist1">
    <w:name w:val="Numberedlist1"/>
    <w:basedOn w:val="Normal"/>
    <w:rsid w:val="00373819"/>
    <w:pPr>
      <w:ind w:left="714" w:hanging="357"/>
    </w:pPr>
    <w:rPr>
      <w:rFonts w:eastAsia="Times New Roman"/>
    </w:rPr>
  </w:style>
  <w:style w:type="paragraph" w:customStyle="1" w:styleId="Numberedlist2">
    <w:name w:val="Numberedlist2"/>
    <w:basedOn w:val="Normal"/>
    <w:rsid w:val="00373819"/>
    <w:pPr>
      <w:ind w:left="1077" w:hanging="357"/>
    </w:pPr>
    <w:rPr>
      <w:rFonts w:eastAsia="Times New Roman"/>
    </w:rPr>
  </w:style>
  <w:style w:type="paragraph" w:customStyle="1" w:styleId="Numberedlist3">
    <w:name w:val="Numberedlist3"/>
    <w:basedOn w:val="Normal"/>
    <w:rsid w:val="00373819"/>
    <w:pPr>
      <w:ind w:left="1434" w:hanging="357"/>
    </w:pPr>
    <w:rPr>
      <w:rFonts w:eastAsia="Times New Roman"/>
    </w:rPr>
  </w:style>
  <w:style w:type="paragraph" w:customStyle="1" w:styleId="Numberedlist4">
    <w:name w:val="Numberedlist4"/>
    <w:basedOn w:val="Normal"/>
    <w:rsid w:val="00373819"/>
    <w:pPr>
      <w:ind w:left="1797" w:hanging="357"/>
    </w:pPr>
    <w:rPr>
      <w:rFonts w:eastAsia="Times New Roman"/>
    </w:rPr>
  </w:style>
  <w:style w:type="paragraph" w:customStyle="1" w:styleId="Numberedlist5">
    <w:name w:val="Numberedlist5"/>
    <w:basedOn w:val="Normal"/>
    <w:rsid w:val="00373819"/>
    <w:pPr>
      <w:ind w:left="2154" w:hanging="357"/>
    </w:pPr>
    <w:rPr>
      <w:rFonts w:eastAsia="Times New Roman"/>
    </w:rPr>
  </w:style>
  <w:style w:type="paragraph" w:customStyle="1" w:styleId="Tablecopyrightstatement">
    <w:name w:val="Table copyright statement"/>
    <w:basedOn w:val="Normal"/>
    <w:rsid w:val="00373819"/>
    <w:rPr>
      <w:rFonts w:ascii="Times New Roman" w:eastAsia="Times New Roman" w:hAnsi="Times New Roman"/>
      <w:b/>
      <w:color w:val="943634"/>
      <w:sz w:val="20"/>
    </w:rPr>
  </w:style>
  <w:style w:type="paragraph" w:customStyle="1" w:styleId="Tablelicensestatement">
    <w:name w:val="Table license statement"/>
    <w:basedOn w:val="Normal"/>
    <w:rsid w:val="00373819"/>
    <w:rPr>
      <w:rFonts w:ascii="Times New Roman" w:eastAsia="Times New Roman" w:hAnsi="Times New Roman"/>
      <w:b/>
      <w:color w:val="76923C"/>
      <w:sz w:val="20"/>
    </w:rPr>
  </w:style>
  <w:style w:type="character" w:customStyle="1" w:styleId="UnresolvedMention3">
    <w:name w:val="Unresolved Mention3"/>
    <w:basedOn w:val="DefaultParagraphFont"/>
    <w:uiPriority w:val="99"/>
    <w:semiHidden/>
    <w:unhideWhenUsed/>
    <w:rsid w:val="005D585C"/>
    <w:rPr>
      <w:color w:val="605E5C"/>
      <w:shd w:val="clear" w:color="auto" w:fill="E1DFDD"/>
    </w:rPr>
  </w:style>
  <w:style w:type="paragraph" w:customStyle="1" w:styleId="VideoInformation">
    <w:name w:val="Video Information"/>
    <w:basedOn w:val="Normal"/>
    <w:qFormat/>
    <w:rsid w:val="00FD19C7"/>
    <w:pPr>
      <w:shd w:val="clear" w:color="auto" w:fill="FFCCFF"/>
      <w:spacing w:after="120" w:line="240" w:lineRule="auto"/>
    </w:pPr>
    <w:rPr>
      <w:rFonts w:ascii="Arial" w:eastAsia="Times New Roman" w:hAnsi="Arial" w:cs="Times New Roman"/>
      <w:sz w:val="20"/>
      <w:szCs w:val="20"/>
    </w:rPr>
  </w:style>
  <w:style w:type="character" w:customStyle="1" w:styleId="citebib">
    <w:name w:val="cite_bib"/>
    <w:basedOn w:val="DefaultParagraphFont"/>
    <w:rsid w:val="00402FB7"/>
    <w:rPr>
      <w:sz w:val="24"/>
      <w:bdr w:val="none" w:sz="0" w:space="0" w:color="auto"/>
      <w:shd w:val="clear" w:color="auto" w:fill="00FFFF"/>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642824">
      <w:bodyDiv w:val="1"/>
      <w:marLeft w:val="0"/>
      <w:marRight w:val="0"/>
      <w:marTop w:val="0"/>
      <w:marBottom w:val="0"/>
      <w:divBdr>
        <w:top w:val="none" w:sz="0" w:space="0" w:color="auto"/>
        <w:left w:val="none" w:sz="0" w:space="0" w:color="auto"/>
        <w:bottom w:val="none" w:sz="0" w:space="0" w:color="auto"/>
        <w:right w:val="none" w:sz="0" w:space="0" w:color="auto"/>
      </w:divBdr>
    </w:div>
    <w:div w:id="1759129678">
      <w:bodyDiv w:val="1"/>
      <w:marLeft w:val="0"/>
      <w:marRight w:val="0"/>
      <w:marTop w:val="0"/>
      <w:marBottom w:val="0"/>
      <w:divBdr>
        <w:top w:val="none" w:sz="0" w:space="0" w:color="auto"/>
        <w:left w:val="none" w:sz="0" w:space="0" w:color="auto"/>
        <w:bottom w:val="none" w:sz="0" w:space="0" w:color="auto"/>
        <w:right w:val="none" w:sz="0" w:space="0" w:color="auto"/>
      </w:divBdr>
      <w:divsChild>
        <w:div w:id="1298610461">
          <w:marLeft w:val="0"/>
          <w:marRight w:val="0"/>
          <w:marTop w:val="0"/>
          <w:marBottom w:val="0"/>
          <w:divBdr>
            <w:top w:val="none" w:sz="0" w:space="0" w:color="auto"/>
            <w:left w:val="none" w:sz="0" w:space="0" w:color="auto"/>
            <w:bottom w:val="none" w:sz="0" w:space="0" w:color="auto"/>
            <w:right w:val="none" w:sz="0" w:space="0" w:color="auto"/>
          </w:divBdr>
        </w:div>
        <w:div w:id="538125153">
          <w:marLeft w:val="0"/>
          <w:marRight w:val="0"/>
          <w:marTop w:val="0"/>
          <w:marBottom w:val="0"/>
          <w:divBdr>
            <w:top w:val="none" w:sz="0" w:space="0" w:color="auto"/>
            <w:left w:val="none" w:sz="0" w:space="0" w:color="auto"/>
            <w:bottom w:val="none" w:sz="0" w:space="0" w:color="auto"/>
            <w:right w:val="none" w:sz="0" w:space="0" w:color="auto"/>
          </w:divBdr>
        </w:div>
        <w:div w:id="1523588158">
          <w:marLeft w:val="0"/>
          <w:marRight w:val="0"/>
          <w:marTop w:val="0"/>
          <w:marBottom w:val="0"/>
          <w:divBdr>
            <w:top w:val="none" w:sz="0" w:space="0" w:color="auto"/>
            <w:left w:val="none" w:sz="0" w:space="0" w:color="auto"/>
            <w:bottom w:val="none" w:sz="0" w:space="0" w:color="auto"/>
            <w:right w:val="none" w:sz="0" w:space="0" w:color="auto"/>
          </w:divBdr>
        </w:div>
        <w:div w:id="2092390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tY1PN0smegw" TargetMode="External"/><Relationship Id="rId18" Type="http://schemas.openxmlformats.org/officeDocument/2006/relationships/hyperlink" Target="media://Competition_kinetics_analysis.pdf/" TargetMode="External"/><Relationship Id="rId26" Type="http://schemas.openxmlformats.org/officeDocument/2006/relationships/hyperlink" Target="media://Custom_equations_for_binding_kinetics.pzf/" TargetMode="External"/><Relationship Id="rId39" Type="http://schemas.openxmlformats.org/officeDocument/2006/relationships/image" Target="media/image9.jpg"/><Relationship Id="rId21" Type="http://schemas.openxmlformats.org/officeDocument/2006/relationships/hyperlink" Target="media://Custom_equations_for_binding_kinetics.pzf/" TargetMode="External"/><Relationship Id="rId34" Type="http://schemas.openxmlformats.org/officeDocument/2006/relationships/image" Target="media/image7.jpg"/><Relationship Id="rId42" Type="http://schemas.openxmlformats.org/officeDocument/2006/relationships/image" Target="media/image11.jpg"/><Relationship Id="rId47" Type="http://schemas.openxmlformats.org/officeDocument/2006/relationships/image" Target="media/image15.jpg"/><Relationship Id="rId50" Type="http://schemas.openxmlformats.org/officeDocument/2006/relationships/hyperlink" Target="media://Competition_kinetics_analysis.pdf/" TargetMode="External"/><Relationship Id="rId55" Type="http://schemas.openxmlformats.org/officeDocument/2006/relationships/image" Target="media/image20.jpg"/><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edia://Association_data_analysis.pdf/" TargetMode="External"/><Relationship Id="rId29" Type="http://schemas.openxmlformats.org/officeDocument/2006/relationships/hyperlink" Target="media://Washout_method_analysis.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24" Type="http://schemas.openxmlformats.org/officeDocument/2006/relationships/hyperlink" Target="media://Custom_equations_for_binding_kinetics.pzf/" TargetMode="External"/><Relationship Id="rId32" Type="http://schemas.openxmlformats.org/officeDocument/2006/relationships/image" Target="media/image5.jpg"/><Relationship Id="rId37" Type="http://schemas.openxmlformats.org/officeDocument/2006/relationships/hyperlink" Target="media://Custom_equations_for_binding_kinetics.pzf/" TargetMode="External"/><Relationship Id="rId40" Type="http://schemas.openxmlformats.org/officeDocument/2006/relationships/image" Target="media/image10.jpg"/><Relationship Id="rId45" Type="http://schemas.openxmlformats.org/officeDocument/2006/relationships/hyperlink" Target="media://Competition_kinetics_analysis.pdf/" TargetMode="External"/><Relationship Id="rId53" Type="http://schemas.openxmlformats.org/officeDocument/2006/relationships/image" Target="media/image18.jpg"/><Relationship Id="rId58" Type="http://schemas.openxmlformats.org/officeDocument/2006/relationships/image" Target="media/image23.jpg"/><Relationship Id="rId66"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media://Association_data_analysis.pdf/" TargetMode="External"/><Relationship Id="rId23" Type="http://schemas.openxmlformats.org/officeDocument/2006/relationships/hyperlink" Target="media://Competition_kinetics_analysis.pdf/" TargetMode="External"/><Relationship Id="rId28" Type="http://schemas.openxmlformats.org/officeDocument/2006/relationships/hyperlink" Target="media://Washout_method_analysis.pdf/" TargetMode="External"/><Relationship Id="rId36" Type="http://schemas.openxmlformats.org/officeDocument/2006/relationships/hyperlink" Target="media://Custom_equations_for_binding_kinetics.pzf/" TargetMode="External"/><Relationship Id="rId49" Type="http://schemas.openxmlformats.org/officeDocument/2006/relationships/image" Target="media/image17.jpg"/><Relationship Id="rId57" Type="http://schemas.openxmlformats.org/officeDocument/2006/relationships/image" Target="media/image22.jpg"/><Relationship Id="rId61" Type="http://schemas.openxmlformats.org/officeDocument/2006/relationships/image" Target="media/image26.jpg"/><Relationship Id="rId10" Type="http://schemas.openxmlformats.org/officeDocument/2006/relationships/hyperlink" Target="mailto:sam.hoare@pharmechanics.com" TargetMode="External"/><Relationship Id="rId19" Type="http://schemas.openxmlformats.org/officeDocument/2006/relationships/hyperlink" Target="media://Competition_kinetics_analysis.pdf/" TargetMode="External"/><Relationship Id="rId31" Type="http://schemas.openxmlformats.org/officeDocument/2006/relationships/image" Target="media/image4.jpg"/><Relationship Id="rId44" Type="http://schemas.openxmlformats.org/officeDocument/2006/relationships/image" Target="media/image13.jpg"/><Relationship Id="rId52" Type="http://schemas.openxmlformats.org/officeDocument/2006/relationships/hyperlink" Target="media://Loading_equations_into_Prism_from_a_file.pdf/" TargetMode="External"/><Relationship Id="rId60" Type="http://schemas.openxmlformats.org/officeDocument/2006/relationships/image" Target="media/image25.jpg"/><Relationship Id="rId65"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g"/><Relationship Id="rId22" Type="http://schemas.openxmlformats.org/officeDocument/2006/relationships/hyperlink" Target="media://Loading_equations_into_Prism_from_a_file.pdf/" TargetMode="External"/><Relationship Id="rId27" Type="http://schemas.openxmlformats.org/officeDocument/2006/relationships/hyperlink" Target="media://Washout_method_analysis.pdf/" TargetMode="External"/><Relationship Id="rId30" Type="http://schemas.openxmlformats.org/officeDocument/2006/relationships/image" Target="media/image3.jpg"/><Relationship Id="rId35" Type="http://schemas.openxmlformats.org/officeDocument/2006/relationships/hyperlink" Target="media://Custom_equations_for_binding_kinetics.pzf/" TargetMode="External"/><Relationship Id="rId43" Type="http://schemas.openxmlformats.org/officeDocument/2006/relationships/image" Target="media/image12.jpeg"/><Relationship Id="rId48" Type="http://schemas.openxmlformats.org/officeDocument/2006/relationships/image" Target="media/image16.jpg"/><Relationship Id="rId56" Type="http://schemas.openxmlformats.org/officeDocument/2006/relationships/image" Target="media/image21.jpg"/><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media://Custom_equations_for_binding_kinetics.pzf/" TargetMode="External"/><Relationship Id="rId3" Type="http://schemas.openxmlformats.org/officeDocument/2006/relationships/customXml" Target="../customXml/item3.xml"/><Relationship Id="rId12" Type="http://schemas.openxmlformats.org/officeDocument/2006/relationships/hyperlink" Target="https://youtu.be/gb4AGjgzZWg" TargetMode="External"/><Relationship Id="rId17" Type="http://schemas.openxmlformats.org/officeDocument/2006/relationships/hyperlink" Target="media://Dissociation_data_analysis.pdf/" TargetMode="External"/><Relationship Id="rId25" Type="http://schemas.openxmlformats.org/officeDocument/2006/relationships/hyperlink" Target="media://Loading_equations_into_Prism_from_a_file.pdf/" TargetMode="External"/><Relationship Id="rId33" Type="http://schemas.openxmlformats.org/officeDocument/2006/relationships/image" Target="media/image6.jpg"/><Relationship Id="rId38" Type="http://schemas.openxmlformats.org/officeDocument/2006/relationships/image" Target="media/image8.jpg"/><Relationship Id="rId46" Type="http://schemas.openxmlformats.org/officeDocument/2006/relationships/image" Target="media/image14.jpg"/><Relationship Id="rId59" Type="http://schemas.openxmlformats.org/officeDocument/2006/relationships/image" Target="media/image24.jpg"/><Relationship Id="rId67" Type="http://schemas.openxmlformats.org/officeDocument/2006/relationships/footer" Target="footer3.xml"/><Relationship Id="rId20" Type="http://schemas.openxmlformats.org/officeDocument/2006/relationships/hyperlink" Target="media://Rapid_competitor_data_analysis.pdf/" TargetMode="External"/><Relationship Id="rId41" Type="http://schemas.openxmlformats.org/officeDocument/2006/relationships/hyperlink" Target="media://Association_data_analysis.pdf/" TargetMode="External"/><Relationship Id="rId54" Type="http://schemas.openxmlformats.org/officeDocument/2006/relationships/image" Target="media/image19.jpeg"/><Relationship Id="rId6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D4432D9C5BB342BCBD60E60B3783D1" ma:contentTypeVersion="2" ma:contentTypeDescription="Create a new document." ma:contentTypeScope="" ma:versionID="7f21bd569598332294361ca5e613fd37">
  <xsd:schema xmlns:xsd="http://www.w3.org/2001/XMLSchema" xmlns:xs="http://www.w3.org/2001/XMLSchema" xmlns:p="http://schemas.microsoft.com/office/2006/metadata/properties" xmlns:ns2="1c8129fd-44ba-475c-9b86-356a9b1d0728" targetNamespace="http://schemas.microsoft.com/office/2006/metadata/properties" ma:root="true" ma:fieldsID="81043f049285dfa186765de320c838cb" ns2:_="">
    <xsd:import namespace="1c8129fd-44ba-475c-9b86-356a9b1d072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8129fd-44ba-475c-9b86-356a9b1d0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78B7A-78CB-49B2-958A-9C687FBF5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8129fd-44ba-475c-9b86-356a9b1d07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3377F6-959A-4583-AD09-2D2476AA39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3FB456-902B-44C3-85E3-557F6BEC2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16801</Words>
  <Characters>95769</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2021-04-16T14:03:00Z</dcterms:created>
  <dcterms:modified xsi:type="dcterms:W3CDTF">2021-04-23T14:44:00Z</dcterms:modified>
</cp:coreProperties>
</file>