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821F42" w14:textId="77777777" w:rsidR="008D0631" w:rsidRPr="00221DFF" w:rsidRDefault="008D0631" w:rsidP="008D0631">
      <w:pPr>
        <w:rPr>
          <w:rFonts w:cs="Arial"/>
          <w:sz w:val="20"/>
        </w:rPr>
      </w:pPr>
    </w:p>
    <w:tbl>
      <w:tblPr>
        <w:tblW w:w="20388" w:type="dxa"/>
        <w:tblLook w:val="0020" w:firstRow="1" w:lastRow="0" w:firstColumn="0" w:lastColumn="0" w:noHBand="0" w:noVBand="0"/>
      </w:tblPr>
      <w:tblGrid>
        <w:gridCol w:w="6951"/>
        <w:gridCol w:w="2420"/>
        <w:gridCol w:w="2420"/>
        <w:gridCol w:w="2431"/>
        <w:gridCol w:w="1010"/>
        <w:gridCol w:w="2790"/>
        <w:gridCol w:w="2366"/>
      </w:tblGrid>
      <w:tr w:rsidR="004D7185" w:rsidRPr="00221DFF" w14:paraId="3D931A3B" w14:textId="77777777" w:rsidTr="00183413">
        <w:trPr>
          <w:cantSplit/>
          <w:trHeight w:val="432"/>
        </w:trPr>
        <w:tc>
          <w:tcPr>
            <w:tcW w:w="20388" w:type="dxa"/>
            <w:gridSpan w:val="7"/>
            <w:tcBorders>
              <w:bottom w:val="single" w:sz="12" w:space="0" w:color="990000"/>
            </w:tcBorders>
            <w:shd w:val="clear" w:color="auto" w:fill="E6E6E6"/>
            <w:vAlign w:val="center"/>
          </w:tcPr>
          <w:p w14:paraId="73F5F3B3" w14:textId="77777777" w:rsidR="004D7185" w:rsidRPr="00221DFF" w:rsidRDefault="004D7185" w:rsidP="00D0034C">
            <w:pPr>
              <w:rPr>
                <w:rFonts w:cs="Arial"/>
                <w:b/>
                <w:sz w:val="20"/>
              </w:rPr>
            </w:pPr>
            <w:r w:rsidRPr="00221DFF">
              <w:rPr>
                <w:rFonts w:cs="Arial"/>
                <w:b/>
                <w:sz w:val="20"/>
              </w:rPr>
              <w:t>Document Information</w:t>
            </w:r>
          </w:p>
        </w:tc>
      </w:tr>
      <w:tr w:rsidR="00183413" w:rsidRPr="00221DFF" w14:paraId="118D5791" w14:textId="77777777" w:rsidTr="003012B3">
        <w:trPr>
          <w:trHeight w:val="288"/>
        </w:trPr>
        <w:tc>
          <w:tcPr>
            <w:tcW w:w="7058" w:type="dxa"/>
            <w:tcBorders>
              <w:top w:val="single" w:sz="12" w:space="0" w:color="990000"/>
              <w:bottom w:val="single" w:sz="4" w:space="0" w:color="auto"/>
            </w:tcBorders>
            <w:vAlign w:val="bottom"/>
          </w:tcPr>
          <w:p w14:paraId="4F621B2E" w14:textId="77777777" w:rsidR="0023615D" w:rsidRPr="00221DFF" w:rsidRDefault="00DB7C16" w:rsidP="00D0034C">
            <w:pPr>
              <w:rPr>
                <w:rFonts w:cs="Arial"/>
                <w:sz w:val="20"/>
              </w:rPr>
            </w:pPr>
            <w:r w:rsidRPr="00221DFF">
              <w:rPr>
                <w:rFonts w:cs="Arial"/>
                <w:sz w:val="20"/>
              </w:rPr>
              <w:t>Document Title</w:t>
            </w:r>
          </w:p>
        </w:tc>
        <w:tc>
          <w:tcPr>
            <w:tcW w:w="2448" w:type="dxa"/>
            <w:tcBorders>
              <w:top w:val="single" w:sz="12" w:space="0" w:color="990000"/>
              <w:bottom w:val="single" w:sz="4" w:space="0" w:color="auto"/>
            </w:tcBorders>
            <w:vAlign w:val="bottom"/>
          </w:tcPr>
          <w:p w14:paraId="01B99413" w14:textId="7E24F6B1" w:rsidR="003012B3" w:rsidRPr="00221DFF" w:rsidRDefault="0023615D" w:rsidP="00AB4B64">
            <w:pPr>
              <w:rPr>
                <w:rFonts w:cs="Arial"/>
                <w:sz w:val="20"/>
              </w:rPr>
            </w:pPr>
            <w:r w:rsidRPr="00221DFF">
              <w:rPr>
                <w:rFonts w:cs="Arial"/>
                <w:sz w:val="20"/>
              </w:rPr>
              <w:t>Created (</w:t>
            </w:r>
            <w:r w:rsidR="00AB4B64">
              <w:rPr>
                <w:rFonts w:cs="Arial"/>
                <w:sz w:val="20"/>
              </w:rPr>
              <w:t>YYYY</w:t>
            </w:r>
            <w:r w:rsidRPr="00221DFF">
              <w:rPr>
                <w:rFonts w:cs="Arial"/>
                <w:sz w:val="20"/>
              </w:rPr>
              <w:t>-</w:t>
            </w:r>
            <w:r w:rsidR="00AB4B64">
              <w:rPr>
                <w:rFonts w:cs="Arial"/>
                <w:sz w:val="20"/>
              </w:rPr>
              <w:t>MM</w:t>
            </w:r>
            <w:r w:rsidRPr="00221DFF">
              <w:rPr>
                <w:rFonts w:cs="Arial"/>
                <w:sz w:val="20"/>
              </w:rPr>
              <w:t>-</w:t>
            </w:r>
            <w:r w:rsidR="00AB4B64">
              <w:rPr>
                <w:rFonts w:cs="Arial"/>
                <w:sz w:val="20"/>
              </w:rPr>
              <w:t>DD</w:t>
            </w:r>
            <w:r w:rsidRPr="00221DFF">
              <w:rPr>
                <w:rFonts w:cs="Arial"/>
                <w:sz w:val="20"/>
              </w:rPr>
              <w:t>)</w:t>
            </w:r>
          </w:p>
        </w:tc>
        <w:tc>
          <w:tcPr>
            <w:tcW w:w="2448" w:type="dxa"/>
            <w:tcBorders>
              <w:top w:val="single" w:sz="12" w:space="0" w:color="990000"/>
              <w:bottom w:val="single" w:sz="4" w:space="0" w:color="auto"/>
            </w:tcBorders>
            <w:shd w:val="clear" w:color="auto" w:fill="auto"/>
            <w:tcMar>
              <w:top w:w="0" w:type="dxa"/>
              <w:left w:w="58" w:type="dxa"/>
              <w:bottom w:w="29" w:type="dxa"/>
              <w:right w:w="115" w:type="dxa"/>
            </w:tcMar>
            <w:vAlign w:val="bottom"/>
          </w:tcPr>
          <w:p w14:paraId="477240A5" w14:textId="671170ED" w:rsidR="003012B3" w:rsidRPr="00221DFF" w:rsidRDefault="003012B3" w:rsidP="00AB4B64">
            <w:pPr>
              <w:rPr>
                <w:rFonts w:cs="Arial"/>
                <w:sz w:val="20"/>
              </w:rPr>
            </w:pPr>
            <w:r w:rsidRPr="00221DFF">
              <w:rPr>
                <w:rFonts w:cs="Arial"/>
                <w:sz w:val="20"/>
              </w:rPr>
              <w:t>Updated</w:t>
            </w:r>
            <w:r w:rsidR="0023615D" w:rsidRPr="00221DFF">
              <w:rPr>
                <w:rFonts w:cs="Arial"/>
                <w:sz w:val="20"/>
              </w:rPr>
              <w:t xml:space="preserve"> (</w:t>
            </w:r>
            <w:r w:rsidR="00AB4B64">
              <w:rPr>
                <w:rFonts w:cs="Arial"/>
                <w:sz w:val="20"/>
              </w:rPr>
              <w:t>YYYY</w:t>
            </w:r>
            <w:r w:rsidR="0023615D" w:rsidRPr="00221DFF">
              <w:rPr>
                <w:rFonts w:cs="Arial"/>
                <w:sz w:val="20"/>
              </w:rPr>
              <w:t>-</w:t>
            </w:r>
            <w:r w:rsidR="00AB4B64">
              <w:rPr>
                <w:rFonts w:cs="Arial"/>
                <w:sz w:val="20"/>
              </w:rPr>
              <w:t>MM</w:t>
            </w:r>
            <w:r w:rsidR="0023615D" w:rsidRPr="00221DFF">
              <w:rPr>
                <w:rFonts w:cs="Arial"/>
                <w:sz w:val="20"/>
              </w:rPr>
              <w:t>-</w:t>
            </w:r>
            <w:r w:rsidR="00AB4B64">
              <w:rPr>
                <w:rFonts w:cs="Arial"/>
                <w:sz w:val="20"/>
              </w:rPr>
              <w:t>DD</w:t>
            </w:r>
            <w:r w:rsidR="0023615D" w:rsidRPr="00221DFF">
              <w:rPr>
                <w:rFonts w:cs="Arial"/>
                <w:sz w:val="20"/>
              </w:rPr>
              <w:t>)</w:t>
            </w:r>
          </w:p>
        </w:tc>
        <w:tc>
          <w:tcPr>
            <w:tcW w:w="2448" w:type="dxa"/>
            <w:tcBorders>
              <w:top w:val="single" w:sz="12" w:space="0" w:color="990000"/>
              <w:bottom w:val="single" w:sz="4" w:space="0" w:color="auto"/>
            </w:tcBorders>
            <w:shd w:val="clear" w:color="auto" w:fill="auto"/>
            <w:vAlign w:val="bottom"/>
          </w:tcPr>
          <w:p w14:paraId="0526C613" w14:textId="77777777" w:rsidR="0023615D" w:rsidRPr="00221DFF" w:rsidRDefault="0023615D" w:rsidP="00D0034C">
            <w:pPr>
              <w:rPr>
                <w:rFonts w:cs="Arial"/>
                <w:sz w:val="20"/>
              </w:rPr>
            </w:pPr>
            <w:r w:rsidRPr="00221DFF">
              <w:rPr>
                <w:rFonts w:cs="Arial"/>
                <w:sz w:val="20"/>
              </w:rPr>
              <w:t>Revised (YYYY-MM-DD)</w:t>
            </w:r>
          </w:p>
          <w:p w14:paraId="3B898000" w14:textId="77777777" w:rsidR="0023615D" w:rsidRPr="00221DFF" w:rsidRDefault="0023615D" w:rsidP="00D0034C">
            <w:pPr>
              <w:rPr>
                <w:rFonts w:cs="Arial"/>
                <w:sz w:val="20"/>
              </w:rPr>
            </w:pPr>
            <w:r w:rsidRPr="00221DFF">
              <w:rPr>
                <w:rFonts w:cs="Arial"/>
                <w:sz w:val="20"/>
              </w:rPr>
              <w:t>(</w:t>
            </w:r>
            <w:r w:rsidRPr="00221DFF">
              <w:rPr>
                <w:rFonts w:cs="Arial"/>
                <w:i/>
                <w:sz w:val="20"/>
              </w:rPr>
              <w:t>GeneReviews</w:t>
            </w:r>
            <w:r w:rsidRPr="00221DFF">
              <w:rPr>
                <w:rFonts w:cs="Arial"/>
                <w:sz w:val="20"/>
              </w:rPr>
              <w:t xml:space="preserve"> Project)</w:t>
            </w:r>
          </w:p>
        </w:tc>
        <w:tc>
          <w:tcPr>
            <w:tcW w:w="1016" w:type="dxa"/>
            <w:tcBorders>
              <w:top w:val="single" w:sz="12" w:space="0" w:color="990000"/>
              <w:bottom w:val="single" w:sz="4" w:space="0" w:color="auto"/>
            </w:tcBorders>
            <w:shd w:val="clear" w:color="auto" w:fill="auto"/>
            <w:tcMar>
              <w:top w:w="0" w:type="dxa"/>
              <w:left w:w="58" w:type="dxa"/>
              <w:bottom w:w="29" w:type="dxa"/>
              <w:right w:w="115" w:type="dxa"/>
            </w:tcMar>
            <w:vAlign w:val="bottom"/>
          </w:tcPr>
          <w:p w14:paraId="25004336" w14:textId="77777777" w:rsidR="0023615D" w:rsidRPr="00221DFF" w:rsidRDefault="0023615D" w:rsidP="00D0034C">
            <w:pPr>
              <w:rPr>
                <w:rFonts w:cs="Arial"/>
                <w:sz w:val="20"/>
              </w:rPr>
            </w:pPr>
            <w:r w:rsidRPr="00221DFF">
              <w:rPr>
                <w:rFonts w:cs="Arial"/>
                <w:sz w:val="20"/>
              </w:rPr>
              <w:t>Label</w:t>
            </w:r>
          </w:p>
        </w:tc>
        <w:tc>
          <w:tcPr>
            <w:tcW w:w="2820" w:type="dxa"/>
            <w:tcBorders>
              <w:top w:val="single" w:sz="12" w:space="0" w:color="990000"/>
              <w:bottom w:val="single" w:sz="4" w:space="0" w:color="auto"/>
            </w:tcBorders>
            <w:shd w:val="clear" w:color="auto" w:fill="auto"/>
            <w:vAlign w:val="bottom"/>
          </w:tcPr>
          <w:p w14:paraId="161F45D6" w14:textId="77777777" w:rsidR="0023615D" w:rsidRPr="00221DFF" w:rsidRDefault="0023615D" w:rsidP="004D7185">
            <w:pPr>
              <w:rPr>
                <w:rFonts w:cs="Arial"/>
                <w:sz w:val="20"/>
              </w:rPr>
            </w:pPr>
            <w:r w:rsidRPr="00221DFF">
              <w:rPr>
                <w:rFonts w:cs="Arial"/>
                <w:sz w:val="20"/>
              </w:rPr>
              <w:t>Indicate “chapter” or “appendix”</w:t>
            </w:r>
          </w:p>
        </w:tc>
        <w:tc>
          <w:tcPr>
            <w:tcW w:w="2391" w:type="dxa"/>
            <w:tcBorders>
              <w:top w:val="single" w:sz="12" w:space="0" w:color="990000"/>
              <w:bottom w:val="single" w:sz="4" w:space="0" w:color="auto"/>
            </w:tcBorders>
            <w:shd w:val="clear" w:color="auto" w:fill="auto"/>
            <w:vAlign w:val="bottom"/>
          </w:tcPr>
          <w:p w14:paraId="48C6E6B4" w14:textId="77777777" w:rsidR="0023615D" w:rsidRPr="00221DFF" w:rsidRDefault="0023615D" w:rsidP="00D0034C">
            <w:pPr>
              <w:rPr>
                <w:rFonts w:cs="Arial"/>
                <w:sz w:val="20"/>
              </w:rPr>
            </w:pPr>
            <w:r w:rsidRPr="00221DFF">
              <w:rPr>
                <w:rFonts w:cs="Arial"/>
                <w:sz w:val="20"/>
              </w:rPr>
              <w:t>Alternate Form (pdf)</w:t>
            </w:r>
          </w:p>
        </w:tc>
      </w:tr>
      <w:tr w:rsidR="00183413" w:rsidRPr="00221DFF" w14:paraId="6DB1E69B" w14:textId="77777777" w:rsidTr="003012B3">
        <w:trPr>
          <w:trHeight w:val="288"/>
        </w:trPr>
        <w:tc>
          <w:tcPr>
            <w:tcW w:w="7058" w:type="dxa"/>
            <w:tcBorders>
              <w:top w:val="single" w:sz="4" w:space="0" w:color="auto"/>
              <w:bottom w:val="single" w:sz="4" w:space="0" w:color="auto"/>
            </w:tcBorders>
            <w:vAlign w:val="bottom"/>
          </w:tcPr>
          <w:p w14:paraId="766516C9" w14:textId="77777777" w:rsidR="00183413" w:rsidRPr="00221DFF" w:rsidRDefault="000342DC" w:rsidP="00D0034C">
            <w:pPr>
              <w:rPr>
                <w:rFonts w:cs="Arial"/>
                <w:sz w:val="20"/>
              </w:rPr>
            </w:pPr>
            <w:r w:rsidRPr="00221DFF">
              <w:rPr>
                <w:rFonts w:cs="Arial"/>
                <w:sz w:val="20"/>
              </w:rPr>
              <w:t>Protein Clusters</w:t>
            </w:r>
          </w:p>
        </w:tc>
        <w:tc>
          <w:tcPr>
            <w:tcW w:w="2448" w:type="dxa"/>
            <w:tcBorders>
              <w:top w:val="single" w:sz="4" w:space="0" w:color="auto"/>
              <w:bottom w:val="single" w:sz="4" w:space="0" w:color="auto"/>
            </w:tcBorders>
            <w:vAlign w:val="bottom"/>
          </w:tcPr>
          <w:p w14:paraId="1F28174E" w14:textId="612BD96C" w:rsidR="00183413" w:rsidRPr="00221DFF" w:rsidRDefault="007D6207" w:rsidP="00D0034C">
            <w:pPr>
              <w:rPr>
                <w:rFonts w:cs="Arial"/>
                <w:sz w:val="20"/>
              </w:rPr>
            </w:pPr>
            <w:r>
              <w:rPr>
                <w:rFonts w:cs="Arial"/>
                <w:sz w:val="20"/>
              </w:rPr>
              <w:t>2014-09-14</w:t>
            </w:r>
          </w:p>
        </w:tc>
        <w:tc>
          <w:tcPr>
            <w:tcW w:w="2448" w:type="dxa"/>
            <w:tcBorders>
              <w:top w:val="single" w:sz="4" w:space="0" w:color="auto"/>
              <w:bottom w:val="single" w:sz="4" w:space="0" w:color="auto"/>
            </w:tcBorders>
            <w:shd w:val="clear" w:color="auto" w:fill="auto"/>
            <w:tcMar>
              <w:top w:w="0" w:type="dxa"/>
              <w:left w:w="58" w:type="dxa"/>
              <w:bottom w:w="29" w:type="dxa"/>
              <w:right w:w="115" w:type="dxa"/>
            </w:tcMar>
            <w:vAlign w:val="bottom"/>
          </w:tcPr>
          <w:p w14:paraId="6012CF98" w14:textId="77777777" w:rsidR="00183413" w:rsidRPr="00221DFF" w:rsidRDefault="00183413" w:rsidP="002E545F">
            <w:pPr>
              <w:rPr>
                <w:rFonts w:cs="Arial"/>
                <w:sz w:val="20"/>
              </w:rPr>
            </w:pPr>
          </w:p>
        </w:tc>
        <w:tc>
          <w:tcPr>
            <w:tcW w:w="2448" w:type="dxa"/>
            <w:tcBorders>
              <w:top w:val="single" w:sz="4" w:space="0" w:color="auto"/>
              <w:bottom w:val="single" w:sz="4" w:space="0" w:color="auto"/>
            </w:tcBorders>
            <w:shd w:val="clear" w:color="auto" w:fill="auto"/>
            <w:vAlign w:val="bottom"/>
          </w:tcPr>
          <w:p w14:paraId="4CB2E644" w14:textId="77777777" w:rsidR="00183413" w:rsidRPr="00221DFF" w:rsidRDefault="00183413" w:rsidP="00D0034C">
            <w:pPr>
              <w:rPr>
                <w:rFonts w:cs="Arial"/>
                <w:sz w:val="20"/>
              </w:rPr>
            </w:pPr>
          </w:p>
        </w:tc>
        <w:tc>
          <w:tcPr>
            <w:tcW w:w="1016" w:type="dxa"/>
            <w:tcBorders>
              <w:top w:val="single" w:sz="4" w:space="0" w:color="auto"/>
              <w:bottom w:val="single" w:sz="4" w:space="0" w:color="auto"/>
            </w:tcBorders>
            <w:shd w:val="clear" w:color="auto" w:fill="auto"/>
            <w:tcMar>
              <w:top w:w="0" w:type="dxa"/>
              <w:left w:w="58" w:type="dxa"/>
              <w:bottom w:w="29" w:type="dxa"/>
              <w:right w:w="115" w:type="dxa"/>
            </w:tcMar>
            <w:vAlign w:val="bottom"/>
          </w:tcPr>
          <w:p w14:paraId="063895B3" w14:textId="77777777" w:rsidR="00183413" w:rsidRPr="00221DFF" w:rsidRDefault="00183413" w:rsidP="00D0034C">
            <w:pPr>
              <w:rPr>
                <w:rFonts w:cs="Arial"/>
                <w:sz w:val="20"/>
              </w:rPr>
            </w:pPr>
          </w:p>
        </w:tc>
        <w:tc>
          <w:tcPr>
            <w:tcW w:w="2820" w:type="dxa"/>
            <w:tcBorders>
              <w:top w:val="single" w:sz="4" w:space="0" w:color="auto"/>
              <w:bottom w:val="single" w:sz="4" w:space="0" w:color="auto"/>
            </w:tcBorders>
            <w:shd w:val="clear" w:color="auto" w:fill="auto"/>
            <w:vAlign w:val="bottom"/>
          </w:tcPr>
          <w:p w14:paraId="43D3A315" w14:textId="77777777" w:rsidR="00183413" w:rsidRPr="00221DFF" w:rsidRDefault="00AB15DA" w:rsidP="004D7185">
            <w:pPr>
              <w:rPr>
                <w:rFonts w:cs="Arial"/>
                <w:sz w:val="20"/>
              </w:rPr>
            </w:pPr>
            <w:r w:rsidRPr="00221DFF">
              <w:rPr>
                <w:rFonts w:cs="Arial"/>
                <w:sz w:val="20"/>
              </w:rPr>
              <w:t>chapter</w:t>
            </w:r>
          </w:p>
        </w:tc>
        <w:tc>
          <w:tcPr>
            <w:tcW w:w="2391" w:type="dxa"/>
            <w:tcBorders>
              <w:top w:val="single" w:sz="4" w:space="0" w:color="auto"/>
              <w:bottom w:val="single" w:sz="4" w:space="0" w:color="auto"/>
            </w:tcBorders>
            <w:shd w:val="clear" w:color="auto" w:fill="auto"/>
            <w:vAlign w:val="bottom"/>
          </w:tcPr>
          <w:p w14:paraId="2924392B" w14:textId="77777777" w:rsidR="00183413" w:rsidRPr="00221DFF" w:rsidRDefault="00AB15DA" w:rsidP="00D0034C">
            <w:pPr>
              <w:rPr>
                <w:rFonts w:cs="Arial"/>
                <w:sz w:val="20"/>
              </w:rPr>
            </w:pPr>
            <w:r w:rsidRPr="00221DFF">
              <w:rPr>
                <w:rFonts w:cs="Arial"/>
                <w:sz w:val="20"/>
              </w:rPr>
              <w:t>pdf</w:t>
            </w:r>
          </w:p>
        </w:tc>
      </w:tr>
    </w:tbl>
    <w:p w14:paraId="5CE8CD28" w14:textId="77777777" w:rsidR="004D7185" w:rsidRPr="00221DFF" w:rsidRDefault="004D7185" w:rsidP="008D0631">
      <w:pPr>
        <w:rPr>
          <w:rFonts w:cs="Arial"/>
          <w:sz w:val="20"/>
        </w:rPr>
      </w:pPr>
    </w:p>
    <w:tbl>
      <w:tblPr>
        <w:tblW w:w="16428" w:type="dxa"/>
        <w:tblLook w:val="0020" w:firstRow="1" w:lastRow="0" w:firstColumn="0" w:lastColumn="0" w:noHBand="0" w:noVBand="0"/>
      </w:tblPr>
      <w:tblGrid>
        <w:gridCol w:w="1908"/>
        <w:gridCol w:w="2160"/>
        <w:gridCol w:w="840"/>
        <w:gridCol w:w="1200"/>
        <w:gridCol w:w="3960"/>
        <w:gridCol w:w="3120"/>
        <w:gridCol w:w="1440"/>
        <w:gridCol w:w="1800"/>
      </w:tblGrid>
      <w:tr w:rsidR="004F39FD" w:rsidRPr="00221DFF" w14:paraId="027037D3" w14:textId="77777777">
        <w:trPr>
          <w:cantSplit/>
          <w:trHeight w:val="432"/>
        </w:trPr>
        <w:tc>
          <w:tcPr>
            <w:tcW w:w="16428" w:type="dxa"/>
            <w:gridSpan w:val="8"/>
            <w:tcBorders>
              <w:top w:val="nil"/>
              <w:left w:val="nil"/>
              <w:bottom w:val="single" w:sz="12" w:space="0" w:color="990000"/>
              <w:right w:val="nil"/>
            </w:tcBorders>
            <w:shd w:val="clear" w:color="auto" w:fill="E6E6E6"/>
            <w:vAlign w:val="center"/>
          </w:tcPr>
          <w:p w14:paraId="6A135351" w14:textId="77777777" w:rsidR="004F39FD" w:rsidRPr="00221DFF" w:rsidRDefault="004F39FD" w:rsidP="00256208">
            <w:pPr>
              <w:rPr>
                <w:rFonts w:cs="Arial"/>
                <w:b/>
                <w:sz w:val="20"/>
              </w:rPr>
            </w:pPr>
            <w:r w:rsidRPr="00221DFF">
              <w:rPr>
                <w:rFonts w:cs="Arial"/>
                <w:b/>
                <w:sz w:val="20"/>
              </w:rPr>
              <w:t>Author Information</w:t>
            </w:r>
          </w:p>
        </w:tc>
      </w:tr>
      <w:tr w:rsidR="004F39FD" w:rsidRPr="00221DFF" w14:paraId="2BDA21ED" w14:textId="77777777">
        <w:trPr>
          <w:trHeight w:val="432"/>
        </w:trPr>
        <w:tc>
          <w:tcPr>
            <w:tcW w:w="1908" w:type="dxa"/>
            <w:tcBorders>
              <w:top w:val="nil"/>
              <w:left w:val="nil"/>
              <w:bottom w:val="single" w:sz="4" w:space="0" w:color="auto"/>
              <w:right w:val="nil"/>
            </w:tcBorders>
            <w:vAlign w:val="bottom"/>
          </w:tcPr>
          <w:p w14:paraId="261A549F" w14:textId="77777777" w:rsidR="004F39FD" w:rsidRPr="00221DFF" w:rsidRDefault="004F39FD" w:rsidP="00256208">
            <w:pPr>
              <w:rPr>
                <w:rFonts w:cs="Arial"/>
                <w:sz w:val="20"/>
              </w:rPr>
            </w:pPr>
            <w:r w:rsidRPr="00221DFF">
              <w:rPr>
                <w:rFonts w:cs="Arial"/>
                <w:sz w:val="20"/>
              </w:rPr>
              <w:t>Given Name(s)</w:t>
            </w:r>
          </w:p>
        </w:tc>
        <w:tc>
          <w:tcPr>
            <w:tcW w:w="2160" w:type="dxa"/>
            <w:tcBorders>
              <w:top w:val="nil"/>
              <w:left w:val="nil"/>
              <w:bottom w:val="single" w:sz="4" w:space="0" w:color="auto"/>
              <w:right w:val="nil"/>
            </w:tcBorders>
            <w:vAlign w:val="bottom"/>
          </w:tcPr>
          <w:p w14:paraId="5B2D2FBB" w14:textId="77777777" w:rsidR="004F39FD" w:rsidRPr="00221DFF" w:rsidRDefault="004F39FD" w:rsidP="00256208">
            <w:pPr>
              <w:rPr>
                <w:rFonts w:cs="Arial"/>
                <w:sz w:val="20"/>
              </w:rPr>
            </w:pPr>
            <w:r w:rsidRPr="00221DFF">
              <w:rPr>
                <w:rFonts w:cs="Arial"/>
                <w:sz w:val="20"/>
              </w:rPr>
              <w:t>Last Name</w:t>
            </w:r>
          </w:p>
        </w:tc>
        <w:tc>
          <w:tcPr>
            <w:tcW w:w="840" w:type="dxa"/>
            <w:tcBorders>
              <w:top w:val="nil"/>
              <w:left w:val="nil"/>
              <w:bottom w:val="single" w:sz="4" w:space="0" w:color="auto"/>
              <w:right w:val="nil"/>
            </w:tcBorders>
            <w:vAlign w:val="bottom"/>
          </w:tcPr>
          <w:p w14:paraId="6F8CECDA" w14:textId="77777777" w:rsidR="004F39FD" w:rsidRPr="00221DFF" w:rsidRDefault="004F39FD" w:rsidP="00256208">
            <w:pPr>
              <w:rPr>
                <w:rFonts w:cs="Arial"/>
                <w:sz w:val="20"/>
              </w:rPr>
            </w:pPr>
            <w:r w:rsidRPr="00221DFF">
              <w:rPr>
                <w:rFonts w:cs="Arial"/>
                <w:sz w:val="20"/>
              </w:rPr>
              <w:t>Suffix</w:t>
            </w:r>
          </w:p>
        </w:tc>
        <w:tc>
          <w:tcPr>
            <w:tcW w:w="1200" w:type="dxa"/>
            <w:tcBorders>
              <w:top w:val="nil"/>
              <w:left w:val="nil"/>
              <w:bottom w:val="single" w:sz="4" w:space="0" w:color="auto"/>
              <w:right w:val="nil"/>
            </w:tcBorders>
            <w:vAlign w:val="bottom"/>
          </w:tcPr>
          <w:p w14:paraId="0C6751D2" w14:textId="77777777" w:rsidR="004F39FD" w:rsidRPr="00221DFF" w:rsidRDefault="004F39FD" w:rsidP="00256208">
            <w:pPr>
              <w:rPr>
                <w:rFonts w:cs="Arial"/>
                <w:sz w:val="20"/>
              </w:rPr>
            </w:pPr>
            <w:r w:rsidRPr="00221DFF">
              <w:rPr>
                <w:rFonts w:cs="Arial"/>
                <w:sz w:val="20"/>
              </w:rPr>
              <w:t>Degrees</w:t>
            </w:r>
          </w:p>
        </w:tc>
        <w:tc>
          <w:tcPr>
            <w:tcW w:w="3960" w:type="dxa"/>
            <w:tcBorders>
              <w:top w:val="nil"/>
              <w:left w:val="nil"/>
              <w:bottom w:val="single" w:sz="4" w:space="0" w:color="auto"/>
              <w:right w:val="nil"/>
            </w:tcBorders>
            <w:vAlign w:val="bottom"/>
          </w:tcPr>
          <w:p w14:paraId="72BAAB0B" w14:textId="77777777" w:rsidR="004F39FD" w:rsidRPr="00221DFF" w:rsidRDefault="004F39FD" w:rsidP="00256208">
            <w:pPr>
              <w:rPr>
                <w:rFonts w:cs="Arial"/>
                <w:sz w:val="20"/>
              </w:rPr>
            </w:pPr>
            <w:r w:rsidRPr="00221DFF">
              <w:rPr>
                <w:rFonts w:cs="Arial"/>
                <w:sz w:val="20"/>
              </w:rPr>
              <w:t>Affiliation</w:t>
            </w:r>
          </w:p>
        </w:tc>
        <w:tc>
          <w:tcPr>
            <w:tcW w:w="3120" w:type="dxa"/>
            <w:tcBorders>
              <w:top w:val="nil"/>
              <w:left w:val="nil"/>
              <w:bottom w:val="single" w:sz="4" w:space="0" w:color="auto"/>
              <w:right w:val="nil"/>
            </w:tcBorders>
            <w:vAlign w:val="bottom"/>
          </w:tcPr>
          <w:p w14:paraId="7E40C951" w14:textId="77777777" w:rsidR="004F39FD" w:rsidRPr="00221DFF" w:rsidRDefault="004F39FD" w:rsidP="00256208">
            <w:pPr>
              <w:rPr>
                <w:rFonts w:cs="Arial"/>
                <w:sz w:val="20"/>
              </w:rPr>
            </w:pPr>
            <w:r w:rsidRPr="00221DFF">
              <w:rPr>
                <w:rFonts w:cs="Arial"/>
                <w:sz w:val="20"/>
              </w:rPr>
              <w:t>Email</w:t>
            </w:r>
          </w:p>
        </w:tc>
        <w:tc>
          <w:tcPr>
            <w:tcW w:w="1440" w:type="dxa"/>
            <w:tcBorders>
              <w:top w:val="nil"/>
              <w:left w:val="nil"/>
              <w:bottom w:val="single" w:sz="4" w:space="0" w:color="auto"/>
              <w:right w:val="nil"/>
            </w:tcBorders>
            <w:vAlign w:val="bottom"/>
          </w:tcPr>
          <w:p w14:paraId="1678203D" w14:textId="77777777" w:rsidR="004F39FD" w:rsidRPr="00221DFF" w:rsidRDefault="004F39FD" w:rsidP="00256208">
            <w:pPr>
              <w:rPr>
                <w:rFonts w:cs="Arial"/>
                <w:sz w:val="20"/>
              </w:rPr>
            </w:pPr>
            <w:r w:rsidRPr="00221DFF">
              <w:rPr>
                <w:rFonts w:cs="Arial"/>
                <w:sz w:val="20"/>
              </w:rPr>
              <w:t>Corr. Au. ?</w:t>
            </w:r>
          </w:p>
          <w:p w14:paraId="197988B9" w14:textId="77777777" w:rsidR="004F39FD" w:rsidRPr="00221DFF" w:rsidRDefault="004F39FD" w:rsidP="00256208">
            <w:pPr>
              <w:rPr>
                <w:rFonts w:cs="Arial"/>
                <w:sz w:val="20"/>
              </w:rPr>
            </w:pPr>
            <w:r w:rsidRPr="00221DFF">
              <w:rPr>
                <w:rFonts w:cs="Arial"/>
                <w:sz w:val="20"/>
              </w:rPr>
              <w:t>(Yes)</w:t>
            </w:r>
          </w:p>
        </w:tc>
        <w:tc>
          <w:tcPr>
            <w:tcW w:w="1800" w:type="dxa"/>
            <w:tcBorders>
              <w:top w:val="nil"/>
              <w:left w:val="nil"/>
              <w:bottom w:val="single" w:sz="4" w:space="0" w:color="auto"/>
              <w:right w:val="nil"/>
            </w:tcBorders>
            <w:vAlign w:val="bottom"/>
          </w:tcPr>
          <w:p w14:paraId="667EDC66" w14:textId="77777777" w:rsidR="004F39FD" w:rsidRPr="00221DFF" w:rsidRDefault="004F39FD" w:rsidP="00256208">
            <w:pPr>
              <w:rPr>
                <w:rFonts w:cs="Arial"/>
                <w:sz w:val="20"/>
              </w:rPr>
            </w:pPr>
            <w:r w:rsidRPr="00221DFF">
              <w:rPr>
                <w:rFonts w:cs="Arial"/>
                <w:sz w:val="20"/>
              </w:rPr>
              <w:t>Au. Footnote</w:t>
            </w:r>
          </w:p>
        </w:tc>
      </w:tr>
      <w:tr w:rsidR="004F39FD" w:rsidRPr="00221DFF" w14:paraId="712132FC" w14:textId="77777777">
        <w:trPr>
          <w:trHeight w:val="432"/>
        </w:trPr>
        <w:tc>
          <w:tcPr>
            <w:tcW w:w="1908" w:type="dxa"/>
            <w:tcBorders>
              <w:top w:val="nil"/>
              <w:left w:val="nil"/>
              <w:bottom w:val="single" w:sz="4" w:space="0" w:color="auto"/>
              <w:right w:val="nil"/>
            </w:tcBorders>
            <w:vAlign w:val="center"/>
          </w:tcPr>
          <w:p w14:paraId="6A545803" w14:textId="77777777" w:rsidR="004F39FD" w:rsidRPr="00221DFF" w:rsidRDefault="00FA392A" w:rsidP="00256208">
            <w:pPr>
              <w:rPr>
                <w:rFonts w:cs="Arial"/>
                <w:sz w:val="20"/>
              </w:rPr>
            </w:pPr>
            <w:r w:rsidRPr="00221DFF">
              <w:rPr>
                <w:rFonts w:cs="Arial"/>
                <w:sz w:val="20"/>
              </w:rPr>
              <w:t>Tatiana</w:t>
            </w:r>
          </w:p>
        </w:tc>
        <w:tc>
          <w:tcPr>
            <w:tcW w:w="2160" w:type="dxa"/>
            <w:tcBorders>
              <w:top w:val="nil"/>
              <w:left w:val="nil"/>
              <w:bottom w:val="single" w:sz="4" w:space="0" w:color="auto"/>
              <w:right w:val="nil"/>
            </w:tcBorders>
            <w:vAlign w:val="center"/>
          </w:tcPr>
          <w:p w14:paraId="40C15FE7" w14:textId="77777777" w:rsidR="004F39FD" w:rsidRPr="00221DFF" w:rsidRDefault="00FA392A" w:rsidP="00256208">
            <w:pPr>
              <w:rPr>
                <w:rFonts w:cs="Arial"/>
                <w:sz w:val="20"/>
              </w:rPr>
            </w:pPr>
            <w:r w:rsidRPr="00221DFF">
              <w:rPr>
                <w:rFonts w:cs="Arial"/>
                <w:sz w:val="20"/>
              </w:rPr>
              <w:t>Tatusova</w:t>
            </w:r>
          </w:p>
        </w:tc>
        <w:tc>
          <w:tcPr>
            <w:tcW w:w="840" w:type="dxa"/>
            <w:tcBorders>
              <w:top w:val="nil"/>
              <w:left w:val="nil"/>
              <w:bottom w:val="single" w:sz="4" w:space="0" w:color="auto"/>
              <w:right w:val="nil"/>
            </w:tcBorders>
            <w:vAlign w:val="center"/>
          </w:tcPr>
          <w:p w14:paraId="55890193" w14:textId="77777777" w:rsidR="004F39FD" w:rsidRPr="00221DFF" w:rsidRDefault="004F39FD" w:rsidP="00256208">
            <w:pPr>
              <w:rPr>
                <w:rFonts w:cs="Arial"/>
                <w:sz w:val="20"/>
              </w:rPr>
            </w:pPr>
          </w:p>
        </w:tc>
        <w:tc>
          <w:tcPr>
            <w:tcW w:w="1200" w:type="dxa"/>
            <w:tcBorders>
              <w:top w:val="nil"/>
              <w:left w:val="nil"/>
              <w:bottom w:val="single" w:sz="4" w:space="0" w:color="auto"/>
              <w:right w:val="nil"/>
            </w:tcBorders>
            <w:vAlign w:val="center"/>
          </w:tcPr>
          <w:p w14:paraId="040E4A62" w14:textId="4CAE9151" w:rsidR="004F39FD" w:rsidRPr="00221DFF" w:rsidRDefault="00DB7C16" w:rsidP="007D6207">
            <w:pPr>
              <w:rPr>
                <w:rFonts w:cs="Arial"/>
                <w:sz w:val="20"/>
              </w:rPr>
            </w:pPr>
            <w:r w:rsidRPr="00221DFF">
              <w:rPr>
                <w:rFonts w:cs="Arial"/>
                <w:sz w:val="20"/>
              </w:rPr>
              <w:t>PhD</w:t>
            </w:r>
          </w:p>
        </w:tc>
        <w:tc>
          <w:tcPr>
            <w:tcW w:w="3960" w:type="dxa"/>
            <w:tcBorders>
              <w:top w:val="nil"/>
              <w:left w:val="nil"/>
              <w:bottom w:val="single" w:sz="4" w:space="0" w:color="auto"/>
              <w:right w:val="nil"/>
            </w:tcBorders>
            <w:vAlign w:val="center"/>
          </w:tcPr>
          <w:p w14:paraId="33484D3F" w14:textId="0A777144" w:rsidR="004F39FD" w:rsidRPr="00221DFF" w:rsidRDefault="00AB4B64" w:rsidP="00256208">
            <w:pPr>
              <w:rPr>
                <w:rFonts w:cs="Arial"/>
                <w:sz w:val="20"/>
              </w:rPr>
            </w:pPr>
            <w:r>
              <w:rPr>
                <w:rFonts w:cs="Arial"/>
                <w:sz w:val="20"/>
              </w:rPr>
              <w:t>1</w:t>
            </w:r>
          </w:p>
        </w:tc>
        <w:tc>
          <w:tcPr>
            <w:tcW w:w="3120" w:type="dxa"/>
            <w:tcBorders>
              <w:top w:val="nil"/>
              <w:left w:val="nil"/>
              <w:bottom w:val="single" w:sz="4" w:space="0" w:color="auto"/>
              <w:right w:val="nil"/>
            </w:tcBorders>
            <w:vAlign w:val="center"/>
          </w:tcPr>
          <w:p w14:paraId="77C833D6" w14:textId="77777777" w:rsidR="004F39FD" w:rsidRPr="00221DFF" w:rsidRDefault="004F39FD" w:rsidP="00256208">
            <w:pPr>
              <w:rPr>
                <w:rFonts w:cs="Arial"/>
                <w:sz w:val="20"/>
              </w:rPr>
            </w:pPr>
          </w:p>
        </w:tc>
        <w:tc>
          <w:tcPr>
            <w:tcW w:w="1440" w:type="dxa"/>
            <w:tcBorders>
              <w:top w:val="nil"/>
              <w:left w:val="nil"/>
              <w:bottom w:val="single" w:sz="4" w:space="0" w:color="auto"/>
              <w:right w:val="nil"/>
            </w:tcBorders>
            <w:vAlign w:val="center"/>
          </w:tcPr>
          <w:p w14:paraId="5679A3A9" w14:textId="77777777" w:rsidR="004F39FD" w:rsidRPr="00221DFF" w:rsidRDefault="004F39FD" w:rsidP="00256208">
            <w:pPr>
              <w:rPr>
                <w:rFonts w:cs="Arial"/>
                <w:sz w:val="20"/>
              </w:rPr>
            </w:pPr>
          </w:p>
        </w:tc>
        <w:tc>
          <w:tcPr>
            <w:tcW w:w="1800" w:type="dxa"/>
            <w:tcBorders>
              <w:top w:val="nil"/>
              <w:left w:val="nil"/>
              <w:bottom w:val="single" w:sz="4" w:space="0" w:color="auto"/>
              <w:right w:val="nil"/>
            </w:tcBorders>
            <w:vAlign w:val="center"/>
          </w:tcPr>
          <w:p w14:paraId="13885B3F" w14:textId="77777777" w:rsidR="004F39FD" w:rsidRPr="00221DFF" w:rsidRDefault="004F39FD" w:rsidP="00256208">
            <w:pPr>
              <w:rPr>
                <w:rFonts w:cs="Arial"/>
                <w:sz w:val="20"/>
              </w:rPr>
            </w:pPr>
          </w:p>
        </w:tc>
      </w:tr>
      <w:tr w:rsidR="004F39FD" w:rsidRPr="00221DFF" w14:paraId="2FEFF00A" w14:textId="77777777">
        <w:trPr>
          <w:trHeight w:val="432"/>
        </w:trPr>
        <w:tc>
          <w:tcPr>
            <w:tcW w:w="1908" w:type="dxa"/>
            <w:tcBorders>
              <w:top w:val="nil"/>
              <w:left w:val="nil"/>
              <w:bottom w:val="single" w:sz="4" w:space="0" w:color="auto"/>
              <w:right w:val="nil"/>
            </w:tcBorders>
            <w:vAlign w:val="center"/>
          </w:tcPr>
          <w:p w14:paraId="21ADE91B" w14:textId="77777777" w:rsidR="004F39FD" w:rsidRPr="00221DFF" w:rsidRDefault="00D57878" w:rsidP="00256208">
            <w:pPr>
              <w:rPr>
                <w:rFonts w:cs="Arial"/>
                <w:sz w:val="20"/>
              </w:rPr>
            </w:pPr>
            <w:r w:rsidRPr="00221DFF">
              <w:rPr>
                <w:rFonts w:cs="Arial"/>
                <w:sz w:val="20"/>
              </w:rPr>
              <w:t>Leonid</w:t>
            </w:r>
            <w:r w:rsidR="00FA392A" w:rsidRPr="00221DFF">
              <w:rPr>
                <w:rFonts w:cs="Arial"/>
                <w:sz w:val="20"/>
              </w:rPr>
              <w:t xml:space="preserve"> </w:t>
            </w:r>
          </w:p>
        </w:tc>
        <w:tc>
          <w:tcPr>
            <w:tcW w:w="2160" w:type="dxa"/>
            <w:tcBorders>
              <w:top w:val="nil"/>
              <w:left w:val="nil"/>
              <w:bottom w:val="single" w:sz="4" w:space="0" w:color="auto"/>
              <w:right w:val="nil"/>
            </w:tcBorders>
            <w:vAlign w:val="center"/>
          </w:tcPr>
          <w:p w14:paraId="27D47884" w14:textId="77777777" w:rsidR="004F39FD" w:rsidRPr="00221DFF" w:rsidRDefault="00D57878" w:rsidP="00256208">
            <w:pPr>
              <w:rPr>
                <w:rFonts w:cs="Arial"/>
                <w:sz w:val="20"/>
              </w:rPr>
            </w:pPr>
            <w:r w:rsidRPr="00221DFF">
              <w:rPr>
                <w:rFonts w:cs="Arial"/>
                <w:sz w:val="20"/>
              </w:rPr>
              <w:t>Zaslavsky</w:t>
            </w:r>
          </w:p>
        </w:tc>
        <w:tc>
          <w:tcPr>
            <w:tcW w:w="840" w:type="dxa"/>
            <w:tcBorders>
              <w:top w:val="nil"/>
              <w:left w:val="nil"/>
              <w:bottom w:val="single" w:sz="4" w:space="0" w:color="auto"/>
              <w:right w:val="nil"/>
            </w:tcBorders>
            <w:vAlign w:val="center"/>
          </w:tcPr>
          <w:p w14:paraId="1D203347" w14:textId="77777777" w:rsidR="004F39FD" w:rsidRPr="00221DFF" w:rsidRDefault="004F39FD" w:rsidP="00256208">
            <w:pPr>
              <w:rPr>
                <w:rFonts w:cs="Arial"/>
                <w:sz w:val="20"/>
              </w:rPr>
            </w:pPr>
          </w:p>
        </w:tc>
        <w:tc>
          <w:tcPr>
            <w:tcW w:w="1200" w:type="dxa"/>
            <w:tcBorders>
              <w:top w:val="nil"/>
              <w:left w:val="nil"/>
              <w:bottom w:val="single" w:sz="4" w:space="0" w:color="auto"/>
              <w:right w:val="nil"/>
            </w:tcBorders>
            <w:vAlign w:val="center"/>
          </w:tcPr>
          <w:p w14:paraId="775BDDAB" w14:textId="6BEFFA3B" w:rsidR="004F39FD" w:rsidRPr="00221DFF" w:rsidRDefault="00FA392A" w:rsidP="003A64E4">
            <w:pPr>
              <w:rPr>
                <w:rFonts w:cs="Arial"/>
                <w:sz w:val="20"/>
              </w:rPr>
            </w:pPr>
            <w:r w:rsidRPr="00221DFF">
              <w:rPr>
                <w:rFonts w:cs="Arial"/>
                <w:sz w:val="20"/>
              </w:rPr>
              <w:t>PhD</w:t>
            </w:r>
          </w:p>
        </w:tc>
        <w:tc>
          <w:tcPr>
            <w:tcW w:w="3960" w:type="dxa"/>
            <w:tcBorders>
              <w:top w:val="nil"/>
              <w:left w:val="nil"/>
              <w:bottom w:val="single" w:sz="4" w:space="0" w:color="auto"/>
              <w:right w:val="nil"/>
            </w:tcBorders>
            <w:vAlign w:val="center"/>
          </w:tcPr>
          <w:p w14:paraId="1A53CFC7" w14:textId="102EA3D5" w:rsidR="004F39FD" w:rsidRPr="00221DFF" w:rsidRDefault="00AB4B64" w:rsidP="00256208">
            <w:pPr>
              <w:rPr>
                <w:rFonts w:cs="Arial"/>
                <w:sz w:val="20"/>
              </w:rPr>
            </w:pPr>
            <w:r>
              <w:rPr>
                <w:rFonts w:cs="Arial"/>
                <w:sz w:val="20"/>
              </w:rPr>
              <w:t>1</w:t>
            </w:r>
          </w:p>
        </w:tc>
        <w:tc>
          <w:tcPr>
            <w:tcW w:w="3120" w:type="dxa"/>
            <w:tcBorders>
              <w:top w:val="nil"/>
              <w:left w:val="nil"/>
              <w:bottom w:val="single" w:sz="4" w:space="0" w:color="auto"/>
              <w:right w:val="nil"/>
            </w:tcBorders>
            <w:vAlign w:val="center"/>
          </w:tcPr>
          <w:p w14:paraId="1C56B314" w14:textId="77777777" w:rsidR="004F39FD" w:rsidRPr="00221DFF" w:rsidRDefault="004F39FD" w:rsidP="00256208">
            <w:pPr>
              <w:rPr>
                <w:rFonts w:cs="Arial"/>
                <w:sz w:val="20"/>
              </w:rPr>
            </w:pPr>
          </w:p>
        </w:tc>
        <w:tc>
          <w:tcPr>
            <w:tcW w:w="1440" w:type="dxa"/>
            <w:tcBorders>
              <w:top w:val="nil"/>
              <w:left w:val="nil"/>
              <w:bottom w:val="single" w:sz="4" w:space="0" w:color="auto"/>
              <w:right w:val="nil"/>
            </w:tcBorders>
            <w:vAlign w:val="center"/>
          </w:tcPr>
          <w:p w14:paraId="4520B911" w14:textId="77777777" w:rsidR="004F39FD" w:rsidRPr="00221DFF" w:rsidRDefault="004F39FD" w:rsidP="00256208">
            <w:pPr>
              <w:rPr>
                <w:rFonts w:cs="Arial"/>
                <w:sz w:val="20"/>
              </w:rPr>
            </w:pPr>
          </w:p>
        </w:tc>
        <w:tc>
          <w:tcPr>
            <w:tcW w:w="1800" w:type="dxa"/>
            <w:tcBorders>
              <w:top w:val="nil"/>
              <w:left w:val="nil"/>
              <w:bottom w:val="single" w:sz="4" w:space="0" w:color="auto"/>
              <w:right w:val="nil"/>
            </w:tcBorders>
            <w:vAlign w:val="center"/>
          </w:tcPr>
          <w:p w14:paraId="1368A0DD" w14:textId="77777777" w:rsidR="004F39FD" w:rsidRPr="00221DFF" w:rsidRDefault="004F39FD" w:rsidP="00256208">
            <w:pPr>
              <w:rPr>
                <w:rFonts w:cs="Arial"/>
                <w:sz w:val="20"/>
              </w:rPr>
            </w:pPr>
          </w:p>
        </w:tc>
      </w:tr>
      <w:tr w:rsidR="004F39FD" w:rsidRPr="00221DFF" w14:paraId="75B4C9F4" w14:textId="77777777">
        <w:trPr>
          <w:trHeight w:val="432"/>
        </w:trPr>
        <w:tc>
          <w:tcPr>
            <w:tcW w:w="1908" w:type="dxa"/>
            <w:tcBorders>
              <w:top w:val="single" w:sz="4" w:space="0" w:color="auto"/>
              <w:left w:val="nil"/>
              <w:bottom w:val="single" w:sz="4" w:space="0" w:color="auto"/>
              <w:right w:val="nil"/>
            </w:tcBorders>
            <w:vAlign w:val="center"/>
          </w:tcPr>
          <w:p w14:paraId="22D87A7D" w14:textId="77777777" w:rsidR="004F39FD" w:rsidRPr="00221DFF" w:rsidRDefault="00D57878" w:rsidP="00256208">
            <w:pPr>
              <w:rPr>
                <w:rFonts w:cs="Arial"/>
                <w:sz w:val="20"/>
              </w:rPr>
            </w:pPr>
            <w:r w:rsidRPr="00221DFF">
              <w:rPr>
                <w:rFonts w:cs="Arial"/>
                <w:sz w:val="20"/>
              </w:rPr>
              <w:t>Boris</w:t>
            </w:r>
          </w:p>
        </w:tc>
        <w:tc>
          <w:tcPr>
            <w:tcW w:w="2160" w:type="dxa"/>
            <w:tcBorders>
              <w:top w:val="single" w:sz="4" w:space="0" w:color="auto"/>
              <w:left w:val="nil"/>
              <w:bottom w:val="single" w:sz="4" w:space="0" w:color="auto"/>
              <w:right w:val="nil"/>
            </w:tcBorders>
            <w:vAlign w:val="center"/>
          </w:tcPr>
          <w:p w14:paraId="65DFD27E" w14:textId="77777777" w:rsidR="004F39FD" w:rsidRPr="00221DFF" w:rsidRDefault="00D57878" w:rsidP="00256208">
            <w:pPr>
              <w:rPr>
                <w:rFonts w:cs="Arial"/>
                <w:sz w:val="20"/>
              </w:rPr>
            </w:pPr>
            <w:r w:rsidRPr="00221DFF">
              <w:rPr>
                <w:rFonts w:cs="Arial"/>
                <w:sz w:val="20"/>
              </w:rPr>
              <w:t>Fedorov</w:t>
            </w:r>
          </w:p>
        </w:tc>
        <w:tc>
          <w:tcPr>
            <w:tcW w:w="840" w:type="dxa"/>
            <w:tcBorders>
              <w:top w:val="single" w:sz="4" w:space="0" w:color="auto"/>
              <w:left w:val="nil"/>
              <w:bottom w:val="single" w:sz="4" w:space="0" w:color="auto"/>
              <w:right w:val="nil"/>
            </w:tcBorders>
            <w:vAlign w:val="center"/>
          </w:tcPr>
          <w:p w14:paraId="569B17BE" w14:textId="77777777" w:rsidR="004F39FD" w:rsidRPr="00221DFF" w:rsidRDefault="004F39FD" w:rsidP="00256208">
            <w:pPr>
              <w:rPr>
                <w:rFonts w:cs="Arial"/>
                <w:sz w:val="20"/>
              </w:rPr>
            </w:pPr>
          </w:p>
        </w:tc>
        <w:tc>
          <w:tcPr>
            <w:tcW w:w="1200" w:type="dxa"/>
            <w:tcBorders>
              <w:top w:val="single" w:sz="4" w:space="0" w:color="auto"/>
              <w:left w:val="nil"/>
              <w:bottom w:val="single" w:sz="4" w:space="0" w:color="auto"/>
              <w:right w:val="nil"/>
            </w:tcBorders>
            <w:vAlign w:val="center"/>
          </w:tcPr>
          <w:p w14:paraId="16EACA6A" w14:textId="1C0DBCAA" w:rsidR="004F39FD" w:rsidRPr="00221DFF" w:rsidRDefault="00D57878" w:rsidP="003A64E4">
            <w:pPr>
              <w:rPr>
                <w:rFonts w:cs="Arial"/>
                <w:sz w:val="20"/>
              </w:rPr>
            </w:pPr>
            <w:r w:rsidRPr="00221DFF">
              <w:rPr>
                <w:rFonts w:cs="Arial"/>
                <w:sz w:val="20"/>
              </w:rPr>
              <w:t>PhD</w:t>
            </w:r>
          </w:p>
        </w:tc>
        <w:tc>
          <w:tcPr>
            <w:tcW w:w="3960" w:type="dxa"/>
            <w:tcBorders>
              <w:top w:val="single" w:sz="4" w:space="0" w:color="auto"/>
              <w:left w:val="nil"/>
              <w:bottom w:val="single" w:sz="4" w:space="0" w:color="auto"/>
              <w:right w:val="nil"/>
            </w:tcBorders>
            <w:vAlign w:val="center"/>
          </w:tcPr>
          <w:p w14:paraId="4863F7AF" w14:textId="588452F9" w:rsidR="00B43C92" w:rsidRPr="00221DFF" w:rsidRDefault="00AB4B64" w:rsidP="00256208">
            <w:pPr>
              <w:rPr>
                <w:rFonts w:cs="Arial"/>
                <w:sz w:val="20"/>
              </w:rPr>
            </w:pPr>
            <w:r>
              <w:rPr>
                <w:rFonts w:cs="Arial"/>
                <w:sz w:val="20"/>
              </w:rPr>
              <w:t>1</w:t>
            </w:r>
          </w:p>
        </w:tc>
        <w:tc>
          <w:tcPr>
            <w:tcW w:w="3120" w:type="dxa"/>
            <w:tcBorders>
              <w:top w:val="single" w:sz="4" w:space="0" w:color="auto"/>
              <w:left w:val="nil"/>
              <w:bottom w:val="single" w:sz="4" w:space="0" w:color="auto"/>
              <w:right w:val="nil"/>
            </w:tcBorders>
            <w:vAlign w:val="center"/>
          </w:tcPr>
          <w:p w14:paraId="3E21D0BD" w14:textId="77777777" w:rsidR="004E62EA" w:rsidRPr="00221DFF" w:rsidRDefault="004E62EA" w:rsidP="00256208">
            <w:pPr>
              <w:rPr>
                <w:rFonts w:cs="Arial"/>
                <w:sz w:val="20"/>
              </w:rPr>
            </w:pPr>
          </w:p>
        </w:tc>
        <w:tc>
          <w:tcPr>
            <w:tcW w:w="1440" w:type="dxa"/>
            <w:tcBorders>
              <w:top w:val="single" w:sz="4" w:space="0" w:color="auto"/>
              <w:left w:val="nil"/>
              <w:bottom w:val="single" w:sz="4" w:space="0" w:color="auto"/>
              <w:right w:val="nil"/>
            </w:tcBorders>
            <w:vAlign w:val="center"/>
          </w:tcPr>
          <w:p w14:paraId="3251A62C" w14:textId="77777777" w:rsidR="004F39FD" w:rsidRPr="00221DFF" w:rsidRDefault="004F39FD" w:rsidP="00256208">
            <w:pPr>
              <w:rPr>
                <w:rFonts w:cs="Arial"/>
                <w:sz w:val="20"/>
              </w:rPr>
            </w:pPr>
          </w:p>
        </w:tc>
        <w:tc>
          <w:tcPr>
            <w:tcW w:w="1800" w:type="dxa"/>
            <w:tcBorders>
              <w:top w:val="single" w:sz="4" w:space="0" w:color="auto"/>
              <w:left w:val="nil"/>
              <w:bottom w:val="single" w:sz="4" w:space="0" w:color="auto"/>
              <w:right w:val="nil"/>
            </w:tcBorders>
            <w:vAlign w:val="center"/>
          </w:tcPr>
          <w:p w14:paraId="0160B2B7" w14:textId="77777777" w:rsidR="004F39FD" w:rsidRPr="00221DFF" w:rsidRDefault="004F39FD" w:rsidP="00256208">
            <w:pPr>
              <w:rPr>
                <w:rFonts w:cs="Arial"/>
                <w:sz w:val="20"/>
              </w:rPr>
            </w:pPr>
          </w:p>
        </w:tc>
      </w:tr>
      <w:tr w:rsidR="00B43C92" w:rsidRPr="00221DFF" w14:paraId="59036F76" w14:textId="77777777">
        <w:trPr>
          <w:trHeight w:val="432"/>
        </w:trPr>
        <w:tc>
          <w:tcPr>
            <w:tcW w:w="1908" w:type="dxa"/>
            <w:tcBorders>
              <w:top w:val="single" w:sz="4" w:space="0" w:color="auto"/>
              <w:left w:val="nil"/>
              <w:bottom w:val="single" w:sz="4" w:space="0" w:color="auto"/>
              <w:right w:val="nil"/>
            </w:tcBorders>
            <w:vAlign w:val="center"/>
          </w:tcPr>
          <w:p w14:paraId="33B48DAE" w14:textId="77777777" w:rsidR="00B43C92" w:rsidRPr="00221DFF" w:rsidRDefault="00B43C92" w:rsidP="00256208">
            <w:pPr>
              <w:rPr>
                <w:rFonts w:cs="Arial"/>
                <w:sz w:val="20"/>
              </w:rPr>
            </w:pPr>
            <w:r w:rsidRPr="00221DFF">
              <w:rPr>
                <w:rFonts w:cs="Arial"/>
                <w:sz w:val="20"/>
              </w:rPr>
              <w:t>Diana</w:t>
            </w:r>
          </w:p>
        </w:tc>
        <w:tc>
          <w:tcPr>
            <w:tcW w:w="2160" w:type="dxa"/>
            <w:tcBorders>
              <w:top w:val="single" w:sz="4" w:space="0" w:color="auto"/>
              <w:left w:val="nil"/>
              <w:bottom w:val="single" w:sz="4" w:space="0" w:color="auto"/>
              <w:right w:val="nil"/>
            </w:tcBorders>
            <w:vAlign w:val="center"/>
          </w:tcPr>
          <w:p w14:paraId="30AC0AC7" w14:textId="77777777" w:rsidR="00B43C92" w:rsidRPr="00221DFF" w:rsidRDefault="00B43C92" w:rsidP="00256208">
            <w:pPr>
              <w:rPr>
                <w:rFonts w:cs="Arial"/>
                <w:sz w:val="20"/>
              </w:rPr>
            </w:pPr>
            <w:r w:rsidRPr="00221DFF">
              <w:rPr>
                <w:rFonts w:cs="Arial"/>
                <w:sz w:val="20"/>
              </w:rPr>
              <w:t>Haddad</w:t>
            </w:r>
          </w:p>
        </w:tc>
        <w:tc>
          <w:tcPr>
            <w:tcW w:w="840" w:type="dxa"/>
            <w:tcBorders>
              <w:top w:val="single" w:sz="4" w:space="0" w:color="auto"/>
              <w:left w:val="nil"/>
              <w:bottom w:val="single" w:sz="4" w:space="0" w:color="auto"/>
              <w:right w:val="nil"/>
            </w:tcBorders>
            <w:vAlign w:val="center"/>
          </w:tcPr>
          <w:p w14:paraId="53264178" w14:textId="77777777" w:rsidR="00B43C92" w:rsidRPr="00221DFF" w:rsidRDefault="00B43C92" w:rsidP="00256208">
            <w:pPr>
              <w:rPr>
                <w:rFonts w:cs="Arial"/>
                <w:sz w:val="20"/>
              </w:rPr>
            </w:pPr>
          </w:p>
        </w:tc>
        <w:tc>
          <w:tcPr>
            <w:tcW w:w="1200" w:type="dxa"/>
            <w:tcBorders>
              <w:top w:val="single" w:sz="4" w:space="0" w:color="auto"/>
              <w:left w:val="nil"/>
              <w:bottom w:val="single" w:sz="4" w:space="0" w:color="auto"/>
              <w:right w:val="nil"/>
            </w:tcBorders>
            <w:vAlign w:val="center"/>
          </w:tcPr>
          <w:p w14:paraId="7DAA75E0" w14:textId="12113AA5" w:rsidR="00B43C92" w:rsidRPr="00221DFF" w:rsidRDefault="00B43C92" w:rsidP="003A64E4">
            <w:pPr>
              <w:rPr>
                <w:rFonts w:cs="Arial"/>
                <w:sz w:val="20"/>
              </w:rPr>
            </w:pPr>
            <w:r w:rsidRPr="00221DFF">
              <w:rPr>
                <w:rFonts w:cs="Arial"/>
                <w:sz w:val="20"/>
              </w:rPr>
              <w:t>PhD</w:t>
            </w:r>
          </w:p>
        </w:tc>
        <w:tc>
          <w:tcPr>
            <w:tcW w:w="3960" w:type="dxa"/>
            <w:tcBorders>
              <w:top w:val="single" w:sz="4" w:space="0" w:color="auto"/>
              <w:left w:val="nil"/>
              <w:bottom w:val="single" w:sz="4" w:space="0" w:color="auto"/>
              <w:right w:val="nil"/>
            </w:tcBorders>
            <w:vAlign w:val="center"/>
          </w:tcPr>
          <w:p w14:paraId="0F79180D" w14:textId="4E54C9C3" w:rsidR="00B43C92" w:rsidRPr="00221DFF" w:rsidRDefault="00AB4B64" w:rsidP="00256208">
            <w:pPr>
              <w:rPr>
                <w:rFonts w:cs="Arial"/>
                <w:sz w:val="20"/>
              </w:rPr>
            </w:pPr>
            <w:r>
              <w:rPr>
                <w:rFonts w:cs="Arial"/>
                <w:sz w:val="20"/>
              </w:rPr>
              <w:t>1</w:t>
            </w:r>
          </w:p>
        </w:tc>
        <w:tc>
          <w:tcPr>
            <w:tcW w:w="3120" w:type="dxa"/>
            <w:tcBorders>
              <w:top w:val="single" w:sz="4" w:space="0" w:color="auto"/>
              <w:left w:val="nil"/>
              <w:bottom w:val="single" w:sz="4" w:space="0" w:color="auto"/>
              <w:right w:val="nil"/>
            </w:tcBorders>
            <w:vAlign w:val="center"/>
          </w:tcPr>
          <w:p w14:paraId="339C5FFF" w14:textId="77777777" w:rsidR="00B43C92" w:rsidRPr="00221DFF" w:rsidRDefault="00B43C92" w:rsidP="00256208">
            <w:pPr>
              <w:rPr>
                <w:rFonts w:cs="Arial"/>
                <w:sz w:val="20"/>
              </w:rPr>
            </w:pPr>
          </w:p>
        </w:tc>
        <w:tc>
          <w:tcPr>
            <w:tcW w:w="1440" w:type="dxa"/>
            <w:tcBorders>
              <w:top w:val="single" w:sz="4" w:space="0" w:color="auto"/>
              <w:left w:val="nil"/>
              <w:bottom w:val="single" w:sz="4" w:space="0" w:color="auto"/>
              <w:right w:val="nil"/>
            </w:tcBorders>
            <w:vAlign w:val="center"/>
          </w:tcPr>
          <w:p w14:paraId="111B9919" w14:textId="77777777" w:rsidR="00B43C92" w:rsidRPr="00221DFF" w:rsidRDefault="00B43C92" w:rsidP="00256208">
            <w:pPr>
              <w:rPr>
                <w:rFonts w:cs="Arial"/>
                <w:sz w:val="20"/>
              </w:rPr>
            </w:pPr>
          </w:p>
        </w:tc>
        <w:tc>
          <w:tcPr>
            <w:tcW w:w="1800" w:type="dxa"/>
            <w:tcBorders>
              <w:top w:val="single" w:sz="4" w:space="0" w:color="auto"/>
              <w:left w:val="nil"/>
              <w:bottom w:val="single" w:sz="4" w:space="0" w:color="auto"/>
              <w:right w:val="nil"/>
            </w:tcBorders>
            <w:vAlign w:val="center"/>
          </w:tcPr>
          <w:p w14:paraId="6ACD174A" w14:textId="77777777" w:rsidR="00B43C92" w:rsidRPr="00221DFF" w:rsidRDefault="00B43C92" w:rsidP="00256208">
            <w:pPr>
              <w:rPr>
                <w:rFonts w:cs="Arial"/>
                <w:sz w:val="20"/>
              </w:rPr>
            </w:pPr>
          </w:p>
        </w:tc>
      </w:tr>
      <w:tr w:rsidR="00B43C92" w:rsidRPr="00221DFF" w14:paraId="1D18A517" w14:textId="77777777">
        <w:trPr>
          <w:trHeight w:val="432"/>
        </w:trPr>
        <w:tc>
          <w:tcPr>
            <w:tcW w:w="1908" w:type="dxa"/>
            <w:tcBorders>
              <w:top w:val="single" w:sz="4" w:space="0" w:color="auto"/>
              <w:left w:val="nil"/>
              <w:bottom w:val="single" w:sz="4" w:space="0" w:color="auto"/>
              <w:right w:val="nil"/>
            </w:tcBorders>
            <w:vAlign w:val="center"/>
          </w:tcPr>
          <w:p w14:paraId="73D7EC30" w14:textId="77777777" w:rsidR="00B43C92" w:rsidRPr="00221DFF" w:rsidRDefault="003D567C" w:rsidP="00256208">
            <w:pPr>
              <w:rPr>
                <w:rFonts w:cs="Arial"/>
                <w:sz w:val="20"/>
              </w:rPr>
            </w:pPr>
            <w:r w:rsidRPr="00221DFF">
              <w:rPr>
                <w:rFonts w:cs="Arial"/>
                <w:sz w:val="20"/>
              </w:rPr>
              <w:t>Anjana</w:t>
            </w:r>
          </w:p>
        </w:tc>
        <w:tc>
          <w:tcPr>
            <w:tcW w:w="2160" w:type="dxa"/>
            <w:tcBorders>
              <w:top w:val="single" w:sz="4" w:space="0" w:color="auto"/>
              <w:left w:val="nil"/>
              <w:bottom w:val="single" w:sz="4" w:space="0" w:color="auto"/>
              <w:right w:val="nil"/>
            </w:tcBorders>
            <w:vAlign w:val="center"/>
          </w:tcPr>
          <w:p w14:paraId="3D8CE3F9" w14:textId="77777777" w:rsidR="00B43C92" w:rsidRPr="00221DFF" w:rsidRDefault="00C21136" w:rsidP="00256208">
            <w:pPr>
              <w:rPr>
                <w:rFonts w:cs="Arial"/>
                <w:sz w:val="20"/>
              </w:rPr>
            </w:pPr>
            <w:r w:rsidRPr="00221DFF">
              <w:rPr>
                <w:rFonts w:cs="Arial"/>
                <w:sz w:val="20"/>
              </w:rPr>
              <w:t>Vatsan</w:t>
            </w:r>
          </w:p>
        </w:tc>
        <w:tc>
          <w:tcPr>
            <w:tcW w:w="840" w:type="dxa"/>
            <w:tcBorders>
              <w:top w:val="single" w:sz="4" w:space="0" w:color="auto"/>
              <w:left w:val="nil"/>
              <w:bottom w:val="single" w:sz="4" w:space="0" w:color="auto"/>
              <w:right w:val="nil"/>
            </w:tcBorders>
            <w:vAlign w:val="center"/>
          </w:tcPr>
          <w:p w14:paraId="6112AF15" w14:textId="77777777" w:rsidR="00B43C92" w:rsidRPr="00221DFF" w:rsidRDefault="00B43C92" w:rsidP="00256208">
            <w:pPr>
              <w:rPr>
                <w:rFonts w:cs="Arial"/>
                <w:sz w:val="20"/>
              </w:rPr>
            </w:pPr>
          </w:p>
        </w:tc>
        <w:tc>
          <w:tcPr>
            <w:tcW w:w="1200" w:type="dxa"/>
            <w:tcBorders>
              <w:top w:val="single" w:sz="4" w:space="0" w:color="auto"/>
              <w:left w:val="nil"/>
              <w:bottom w:val="single" w:sz="4" w:space="0" w:color="auto"/>
              <w:right w:val="nil"/>
            </w:tcBorders>
            <w:vAlign w:val="center"/>
          </w:tcPr>
          <w:p w14:paraId="24D39A7D" w14:textId="3239492F" w:rsidR="00B43C92" w:rsidRPr="00221DFF" w:rsidRDefault="003D567C" w:rsidP="003A64E4">
            <w:pPr>
              <w:rPr>
                <w:rFonts w:cs="Arial"/>
                <w:sz w:val="20"/>
              </w:rPr>
            </w:pPr>
            <w:r w:rsidRPr="00221DFF">
              <w:rPr>
                <w:rFonts w:cs="Arial"/>
                <w:sz w:val="20"/>
              </w:rPr>
              <w:t>PhD</w:t>
            </w:r>
          </w:p>
        </w:tc>
        <w:tc>
          <w:tcPr>
            <w:tcW w:w="3960" w:type="dxa"/>
            <w:tcBorders>
              <w:top w:val="single" w:sz="4" w:space="0" w:color="auto"/>
              <w:left w:val="nil"/>
              <w:bottom w:val="single" w:sz="4" w:space="0" w:color="auto"/>
              <w:right w:val="nil"/>
            </w:tcBorders>
            <w:vAlign w:val="center"/>
          </w:tcPr>
          <w:p w14:paraId="64DA696D" w14:textId="48A1F96B" w:rsidR="00B43C92" w:rsidRPr="00221DFF" w:rsidRDefault="00AB4B64" w:rsidP="00256208">
            <w:pPr>
              <w:rPr>
                <w:rFonts w:cs="Arial"/>
                <w:sz w:val="20"/>
              </w:rPr>
            </w:pPr>
            <w:r>
              <w:rPr>
                <w:rFonts w:cs="Arial"/>
                <w:sz w:val="20"/>
              </w:rPr>
              <w:t>1</w:t>
            </w:r>
          </w:p>
        </w:tc>
        <w:tc>
          <w:tcPr>
            <w:tcW w:w="3120" w:type="dxa"/>
            <w:tcBorders>
              <w:top w:val="single" w:sz="4" w:space="0" w:color="auto"/>
              <w:left w:val="nil"/>
              <w:bottom w:val="single" w:sz="4" w:space="0" w:color="auto"/>
              <w:right w:val="nil"/>
            </w:tcBorders>
            <w:vAlign w:val="center"/>
          </w:tcPr>
          <w:p w14:paraId="2A0B6765" w14:textId="77777777" w:rsidR="00B43C92" w:rsidRPr="00221DFF" w:rsidRDefault="00B43C92" w:rsidP="00256208">
            <w:pPr>
              <w:rPr>
                <w:rFonts w:cs="Arial"/>
                <w:sz w:val="20"/>
              </w:rPr>
            </w:pPr>
          </w:p>
        </w:tc>
        <w:tc>
          <w:tcPr>
            <w:tcW w:w="1440" w:type="dxa"/>
            <w:tcBorders>
              <w:top w:val="single" w:sz="4" w:space="0" w:color="auto"/>
              <w:left w:val="nil"/>
              <w:bottom w:val="single" w:sz="4" w:space="0" w:color="auto"/>
              <w:right w:val="nil"/>
            </w:tcBorders>
            <w:vAlign w:val="center"/>
          </w:tcPr>
          <w:p w14:paraId="128A5DA5" w14:textId="77777777" w:rsidR="00B43C92" w:rsidRPr="00221DFF" w:rsidRDefault="00B43C92" w:rsidP="00256208">
            <w:pPr>
              <w:rPr>
                <w:rFonts w:cs="Arial"/>
                <w:sz w:val="20"/>
              </w:rPr>
            </w:pPr>
          </w:p>
        </w:tc>
        <w:tc>
          <w:tcPr>
            <w:tcW w:w="1800" w:type="dxa"/>
            <w:tcBorders>
              <w:top w:val="single" w:sz="4" w:space="0" w:color="auto"/>
              <w:left w:val="nil"/>
              <w:bottom w:val="single" w:sz="4" w:space="0" w:color="auto"/>
              <w:right w:val="nil"/>
            </w:tcBorders>
            <w:vAlign w:val="center"/>
          </w:tcPr>
          <w:p w14:paraId="61372F26" w14:textId="77777777" w:rsidR="00B43C92" w:rsidRPr="00221DFF" w:rsidRDefault="00B43C92" w:rsidP="00256208">
            <w:pPr>
              <w:rPr>
                <w:rFonts w:cs="Arial"/>
                <w:sz w:val="20"/>
              </w:rPr>
            </w:pPr>
          </w:p>
        </w:tc>
      </w:tr>
      <w:tr w:rsidR="00BE1ED3" w:rsidRPr="00221DFF" w14:paraId="161663D5" w14:textId="77777777">
        <w:trPr>
          <w:trHeight w:val="432"/>
        </w:trPr>
        <w:tc>
          <w:tcPr>
            <w:tcW w:w="1908" w:type="dxa"/>
            <w:tcBorders>
              <w:top w:val="single" w:sz="4" w:space="0" w:color="auto"/>
              <w:left w:val="nil"/>
              <w:bottom w:val="single" w:sz="4" w:space="0" w:color="auto"/>
              <w:right w:val="nil"/>
            </w:tcBorders>
            <w:vAlign w:val="center"/>
          </w:tcPr>
          <w:p w14:paraId="5582267D" w14:textId="77777777" w:rsidR="00BE1ED3" w:rsidRPr="00221DFF" w:rsidRDefault="00BE1ED3" w:rsidP="00256208">
            <w:pPr>
              <w:rPr>
                <w:rFonts w:cs="Arial"/>
                <w:sz w:val="20"/>
              </w:rPr>
            </w:pPr>
            <w:r w:rsidRPr="00221DFF">
              <w:rPr>
                <w:rFonts w:cs="Arial"/>
                <w:sz w:val="20"/>
              </w:rPr>
              <w:t>Danso</w:t>
            </w:r>
          </w:p>
        </w:tc>
        <w:tc>
          <w:tcPr>
            <w:tcW w:w="2160" w:type="dxa"/>
            <w:tcBorders>
              <w:top w:val="single" w:sz="4" w:space="0" w:color="auto"/>
              <w:left w:val="nil"/>
              <w:bottom w:val="single" w:sz="4" w:space="0" w:color="auto"/>
              <w:right w:val="nil"/>
            </w:tcBorders>
            <w:vAlign w:val="center"/>
          </w:tcPr>
          <w:p w14:paraId="7D0B8005" w14:textId="77777777" w:rsidR="00BE1ED3" w:rsidRPr="00221DFF" w:rsidRDefault="00BE1ED3" w:rsidP="00256208">
            <w:pPr>
              <w:rPr>
                <w:rFonts w:cs="Arial"/>
                <w:sz w:val="20"/>
              </w:rPr>
            </w:pPr>
            <w:r w:rsidRPr="00221DFF">
              <w:rPr>
                <w:rFonts w:cs="Arial"/>
                <w:sz w:val="20"/>
              </w:rPr>
              <w:t>Ako-adjei</w:t>
            </w:r>
          </w:p>
        </w:tc>
        <w:tc>
          <w:tcPr>
            <w:tcW w:w="840" w:type="dxa"/>
            <w:tcBorders>
              <w:top w:val="single" w:sz="4" w:space="0" w:color="auto"/>
              <w:left w:val="nil"/>
              <w:bottom w:val="single" w:sz="4" w:space="0" w:color="auto"/>
              <w:right w:val="nil"/>
            </w:tcBorders>
            <w:vAlign w:val="center"/>
          </w:tcPr>
          <w:p w14:paraId="3D3B2E43" w14:textId="77777777" w:rsidR="00BE1ED3" w:rsidRPr="00221DFF" w:rsidRDefault="00BE1ED3" w:rsidP="00256208">
            <w:pPr>
              <w:rPr>
                <w:rFonts w:cs="Arial"/>
                <w:sz w:val="20"/>
              </w:rPr>
            </w:pPr>
          </w:p>
        </w:tc>
        <w:tc>
          <w:tcPr>
            <w:tcW w:w="1200" w:type="dxa"/>
            <w:tcBorders>
              <w:top w:val="single" w:sz="4" w:space="0" w:color="auto"/>
              <w:left w:val="nil"/>
              <w:bottom w:val="single" w:sz="4" w:space="0" w:color="auto"/>
              <w:right w:val="nil"/>
            </w:tcBorders>
            <w:vAlign w:val="center"/>
          </w:tcPr>
          <w:p w14:paraId="226A904A" w14:textId="14271E72" w:rsidR="00BE1ED3" w:rsidRPr="00221DFF" w:rsidRDefault="00BE1ED3" w:rsidP="003A64E4">
            <w:pPr>
              <w:rPr>
                <w:rFonts w:cs="Arial"/>
                <w:sz w:val="20"/>
              </w:rPr>
            </w:pPr>
            <w:r w:rsidRPr="00221DFF">
              <w:rPr>
                <w:rFonts w:cs="Arial"/>
                <w:sz w:val="20"/>
              </w:rPr>
              <w:t>PhD</w:t>
            </w:r>
          </w:p>
        </w:tc>
        <w:tc>
          <w:tcPr>
            <w:tcW w:w="3960" w:type="dxa"/>
            <w:tcBorders>
              <w:top w:val="single" w:sz="4" w:space="0" w:color="auto"/>
              <w:left w:val="nil"/>
              <w:bottom w:val="single" w:sz="4" w:space="0" w:color="auto"/>
              <w:right w:val="nil"/>
            </w:tcBorders>
            <w:vAlign w:val="center"/>
          </w:tcPr>
          <w:p w14:paraId="6D2E3974" w14:textId="1F004C24" w:rsidR="00BE1ED3" w:rsidRPr="00221DFF" w:rsidRDefault="00AB4B64" w:rsidP="00256208">
            <w:pPr>
              <w:rPr>
                <w:rFonts w:cs="Arial"/>
                <w:sz w:val="20"/>
              </w:rPr>
            </w:pPr>
            <w:r>
              <w:rPr>
                <w:rFonts w:cs="Arial"/>
                <w:sz w:val="20"/>
              </w:rPr>
              <w:t>1</w:t>
            </w:r>
          </w:p>
        </w:tc>
        <w:tc>
          <w:tcPr>
            <w:tcW w:w="3120" w:type="dxa"/>
            <w:tcBorders>
              <w:top w:val="single" w:sz="4" w:space="0" w:color="auto"/>
              <w:left w:val="nil"/>
              <w:bottom w:val="single" w:sz="4" w:space="0" w:color="auto"/>
              <w:right w:val="nil"/>
            </w:tcBorders>
            <w:vAlign w:val="center"/>
          </w:tcPr>
          <w:p w14:paraId="215EF76D" w14:textId="77777777" w:rsidR="00BE1ED3" w:rsidRPr="00221DFF" w:rsidRDefault="00BE1ED3" w:rsidP="00256208">
            <w:pPr>
              <w:rPr>
                <w:rFonts w:cs="Arial"/>
                <w:sz w:val="20"/>
              </w:rPr>
            </w:pPr>
          </w:p>
        </w:tc>
        <w:tc>
          <w:tcPr>
            <w:tcW w:w="1440" w:type="dxa"/>
            <w:tcBorders>
              <w:top w:val="single" w:sz="4" w:space="0" w:color="auto"/>
              <w:left w:val="nil"/>
              <w:bottom w:val="single" w:sz="4" w:space="0" w:color="auto"/>
              <w:right w:val="nil"/>
            </w:tcBorders>
            <w:vAlign w:val="center"/>
          </w:tcPr>
          <w:p w14:paraId="5346D3CF" w14:textId="77777777" w:rsidR="00BE1ED3" w:rsidRPr="00221DFF" w:rsidRDefault="00BE1ED3" w:rsidP="00256208">
            <w:pPr>
              <w:rPr>
                <w:rFonts w:cs="Arial"/>
                <w:sz w:val="20"/>
              </w:rPr>
            </w:pPr>
          </w:p>
        </w:tc>
        <w:tc>
          <w:tcPr>
            <w:tcW w:w="1800" w:type="dxa"/>
            <w:tcBorders>
              <w:top w:val="single" w:sz="4" w:space="0" w:color="auto"/>
              <w:left w:val="nil"/>
              <w:bottom w:val="single" w:sz="4" w:space="0" w:color="auto"/>
              <w:right w:val="nil"/>
            </w:tcBorders>
            <w:vAlign w:val="center"/>
          </w:tcPr>
          <w:p w14:paraId="5F38836A" w14:textId="77777777" w:rsidR="00BE1ED3" w:rsidRPr="00221DFF" w:rsidRDefault="00BE1ED3" w:rsidP="00256208">
            <w:pPr>
              <w:rPr>
                <w:rFonts w:cs="Arial"/>
                <w:sz w:val="20"/>
              </w:rPr>
            </w:pPr>
          </w:p>
        </w:tc>
      </w:tr>
      <w:tr w:rsidR="00BE1ED3" w:rsidRPr="00221DFF" w14:paraId="6D1037C0" w14:textId="77777777">
        <w:trPr>
          <w:trHeight w:val="432"/>
        </w:trPr>
        <w:tc>
          <w:tcPr>
            <w:tcW w:w="1908" w:type="dxa"/>
            <w:tcBorders>
              <w:top w:val="single" w:sz="4" w:space="0" w:color="auto"/>
              <w:left w:val="nil"/>
              <w:bottom w:val="single" w:sz="4" w:space="0" w:color="auto"/>
              <w:right w:val="nil"/>
            </w:tcBorders>
            <w:vAlign w:val="center"/>
          </w:tcPr>
          <w:p w14:paraId="7400B28D" w14:textId="77777777" w:rsidR="00BE1ED3" w:rsidRPr="00221DFF" w:rsidRDefault="00BE1ED3" w:rsidP="00256208">
            <w:pPr>
              <w:rPr>
                <w:rFonts w:cs="Arial"/>
                <w:sz w:val="20"/>
              </w:rPr>
            </w:pPr>
            <w:r w:rsidRPr="00221DFF">
              <w:rPr>
                <w:rFonts w:cs="Arial"/>
                <w:sz w:val="20"/>
              </w:rPr>
              <w:t>Olga</w:t>
            </w:r>
          </w:p>
        </w:tc>
        <w:tc>
          <w:tcPr>
            <w:tcW w:w="2160" w:type="dxa"/>
            <w:tcBorders>
              <w:top w:val="single" w:sz="4" w:space="0" w:color="auto"/>
              <w:left w:val="nil"/>
              <w:bottom w:val="single" w:sz="4" w:space="0" w:color="auto"/>
              <w:right w:val="nil"/>
            </w:tcBorders>
            <w:vAlign w:val="center"/>
          </w:tcPr>
          <w:p w14:paraId="59CEB2B3" w14:textId="77777777" w:rsidR="00BE1ED3" w:rsidRPr="00221DFF" w:rsidRDefault="00BE1ED3" w:rsidP="00256208">
            <w:pPr>
              <w:rPr>
                <w:rFonts w:cs="Arial"/>
                <w:sz w:val="20"/>
              </w:rPr>
            </w:pPr>
            <w:r w:rsidRPr="00221DFF">
              <w:rPr>
                <w:rFonts w:cs="Arial"/>
                <w:sz w:val="20"/>
              </w:rPr>
              <w:t>Blinkova</w:t>
            </w:r>
          </w:p>
        </w:tc>
        <w:tc>
          <w:tcPr>
            <w:tcW w:w="840" w:type="dxa"/>
            <w:tcBorders>
              <w:top w:val="single" w:sz="4" w:space="0" w:color="auto"/>
              <w:left w:val="nil"/>
              <w:bottom w:val="single" w:sz="4" w:space="0" w:color="auto"/>
              <w:right w:val="nil"/>
            </w:tcBorders>
            <w:vAlign w:val="center"/>
          </w:tcPr>
          <w:p w14:paraId="69AA5105" w14:textId="77777777" w:rsidR="00BE1ED3" w:rsidRPr="00221DFF" w:rsidRDefault="00BE1ED3" w:rsidP="00256208">
            <w:pPr>
              <w:rPr>
                <w:rFonts w:cs="Arial"/>
                <w:sz w:val="20"/>
              </w:rPr>
            </w:pPr>
          </w:p>
        </w:tc>
        <w:tc>
          <w:tcPr>
            <w:tcW w:w="1200" w:type="dxa"/>
            <w:tcBorders>
              <w:top w:val="single" w:sz="4" w:space="0" w:color="auto"/>
              <w:left w:val="nil"/>
              <w:bottom w:val="single" w:sz="4" w:space="0" w:color="auto"/>
              <w:right w:val="nil"/>
            </w:tcBorders>
            <w:vAlign w:val="center"/>
          </w:tcPr>
          <w:p w14:paraId="45F31E68" w14:textId="75F1F97B" w:rsidR="00BE1ED3" w:rsidRPr="00221DFF" w:rsidRDefault="00BE1ED3" w:rsidP="00256208">
            <w:pPr>
              <w:rPr>
                <w:rFonts w:cs="Arial"/>
                <w:sz w:val="20"/>
              </w:rPr>
            </w:pPr>
            <w:r w:rsidRPr="00221DFF">
              <w:rPr>
                <w:rFonts w:cs="Arial"/>
                <w:sz w:val="20"/>
              </w:rPr>
              <w:t>PhD</w:t>
            </w:r>
          </w:p>
        </w:tc>
        <w:tc>
          <w:tcPr>
            <w:tcW w:w="3960" w:type="dxa"/>
            <w:tcBorders>
              <w:top w:val="single" w:sz="4" w:space="0" w:color="auto"/>
              <w:left w:val="nil"/>
              <w:bottom w:val="single" w:sz="4" w:space="0" w:color="auto"/>
              <w:right w:val="nil"/>
            </w:tcBorders>
            <w:vAlign w:val="center"/>
          </w:tcPr>
          <w:p w14:paraId="1AE263B6" w14:textId="63DBBA69" w:rsidR="00BE1ED3" w:rsidRPr="00221DFF" w:rsidRDefault="00AB4B64" w:rsidP="00256208">
            <w:pPr>
              <w:rPr>
                <w:rFonts w:cs="Arial"/>
                <w:sz w:val="20"/>
              </w:rPr>
            </w:pPr>
            <w:r>
              <w:rPr>
                <w:rFonts w:cs="Arial"/>
                <w:sz w:val="20"/>
              </w:rPr>
              <w:t>1</w:t>
            </w:r>
          </w:p>
        </w:tc>
        <w:tc>
          <w:tcPr>
            <w:tcW w:w="3120" w:type="dxa"/>
            <w:tcBorders>
              <w:top w:val="single" w:sz="4" w:space="0" w:color="auto"/>
              <w:left w:val="nil"/>
              <w:bottom w:val="single" w:sz="4" w:space="0" w:color="auto"/>
              <w:right w:val="nil"/>
            </w:tcBorders>
            <w:vAlign w:val="center"/>
          </w:tcPr>
          <w:p w14:paraId="7A17EE1E" w14:textId="77777777" w:rsidR="00BE1ED3" w:rsidRPr="00221DFF" w:rsidRDefault="00BE1ED3" w:rsidP="00256208">
            <w:pPr>
              <w:rPr>
                <w:rFonts w:cs="Arial"/>
                <w:sz w:val="20"/>
              </w:rPr>
            </w:pPr>
          </w:p>
        </w:tc>
        <w:tc>
          <w:tcPr>
            <w:tcW w:w="1440" w:type="dxa"/>
            <w:tcBorders>
              <w:top w:val="single" w:sz="4" w:space="0" w:color="auto"/>
              <w:left w:val="nil"/>
              <w:bottom w:val="single" w:sz="4" w:space="0" w:color="auto"/>
              <w:right w:val="nil"/>
            </w:tcBorders>
            <w:vAlign w:val="center"/>
          </w:tcPr>
          <w:p w14:paraId="0316ED2A" w14:textId="77777777" w:rsidR="00BE1ED3" w:rsidRPr="00221DFF" w:rsidRDefault="00BE1ED3" w:rsidP="00256208">
            <w:pPr>
              <w:rPr>
                <w:rFonts w:cs="Arial"/>
                <w:sz w:val="20"/>
              </w:rPr>
            </w:pPr>
          </w:p>
        </w:tc>
        <w:tc>
          <w:tcPr>
            <w:tcW w:w="1800" w:type="dxa"/>
            <w:tcBorders>
              <w:top w:val="single" w:sz="4" w:space="0" w:color="auto"/>
              <w:left w:val="nil"/>
              <w:bottom w:val="single" w:sz="4" w:space="0" w:color="auto"/>
              <w:right w:val="nil"/>
            </w:tcBorders>
            <w:vAlign w:val="center"/>
          </w:tcPr>
          <w:p w14:paraId="219505E7" w14:textId="77777777" w:rsidR="00BE1ED3" w:rsidRPr="00221DFF" w:rsidRDefault="00BE1ED3" w:rsidP="00256208">
            <w:pPr>
              <w:rPr>
                <w:rFonts w:cs="Arial"/>
                <w:sz w:val="20"/>
              </w:rPr>
            </w:pPr>
          </w:p>
        </w:tc>
      </w:tr>
      <w:tr w:rsidR="00210879" w:rsidRPr="00221DFF" w14:paraId="283BB3BC" w14:textId="77777777">
        <w:trPr>
          <w:trHeight w:val="432"/>
        </w:trPr>
        <w:tc>
          <w:tcPr>
            <w:tcW w:w="1908" w:type="dxa"/>
            <w:tcBorders>
              <w:top w:val="single" w:sz="4" w:space="0" w:color="auto"/>
              <w:left w:val="nil"/>
              <w:bottom w:val="single" w:sz="4" w:space="0" w:color="auto"/>
              <w:right w:val="nil"/>
            </w:tcBorders>
            <w:vAlign w:val="center"/>
          </w:tcPr>
          <w:p w14:paraId="4E7BD6C4" w14:textId="156AFEFA" w:rsidR="00210879" w:rsidRPr="00221DFF" w:rsidRDefault="00210879" w:rsidP="00256208">
            <w:pPr>
              <w:rPr>
                <w:rFonts w:cs="Arial"/>
                <w:sz w:val="20"/>
              </w:rPr>
            </w:pPr>
            <w:r>
              <w:rPr>
                <w:rFonts w:cs="Arial"/>
                <w:sz w:val="20"/>
              </w:rPr>
              <w:t>Hassan</w:t>
            </w:r>
          </w:p>
        </w:tc>
        <w:tc>
          <w:tcPr>
            <w:tcW w:w="2160" w:type="dxa"/>
            <w:tcBorders>
              <w:top w:val="single" w:sz="4" w:space="0" w:color="auto"/>
              <w:left w:val="nil"/>
              <w:bottom w:val="single" w:sz="4" w:space="0" w:color="auto"/>
              <w:right w:val="nil"/>
            </w:tcBorders>
            <w:vAlign w:val="center"/>
          </w:tcPr>
          <w:p w14:paraId="7FEB026D" w14:textId="44C481D4" w:rsidR="00210879" w:rsidRPr="00221DFF" w:rsidRDefault="00210879" w:rsidP="00256208">
            <w:pPr>
              <w:rPr>
                <w:rFonts w:cs="Arial"/>
                <w:sz w:val="20"/>
              </w:rPr>
            </w:pPr>
            <w:r>
              <w:rPr>
                <w:rFonts w:cs="Arial"/>
                <w:sz w:val="20"/>
              </w:rPr>
              <w:t>Ghazal</w:t>
            </w:r>
          </w:p>
        </w:tc>
        <w:tc>
          <w:tcPr>
            <w:tcW w:w="840" w:type="dxa"/>
            <w:tcBorders>
              <w:top w:val="single" w:sz="4" w:space="0" w:color="auto"/>
              <w:left w:val="nil"/>
              <w:bottom w:val="single" w:sz="4" w:space="0" w:color="auto"/>
              <w:right w:val="nil"/>
            </w:tcBorders>
            <w:vAlign w:val="center"/>
          </w:tcPr>
          <w:p w14:paraId="75C91F02" w14:textId="77777777" w:rsidR="00210879" w:rsidRPr="00221DFF" w:rsidRDefault="00210879" w:rsidP="00256208">
            <w:pPr>
              <w:rPr>
                <w:rFonts w:cs="Arial"/>
                <w:sz w:val="20"/>
              </w:rPr>
            </w:pPr>
          </w:p>
        </w:tc>
        <w:tc>
          <w:tcPr>
            <w:tcW w:w="1200" w:type="dxa"/>
            <w:tcBorders>
              <w:top w:val="single" w:sz="4" w:space="0" w:color="auto"/>
              <w:left w:val="nil"/>
              <w:bottom w:val="single" w:sz="4" w:space="0" w:color="auto"/>
              <w:right w:val="nil"/>
            </w:tcBorders>
            <w:vAlign w:val="center"/>
          </w:tcPr>
          <w:p w14:paraId="3FB7830B" w14:textId="2588DB2E" w:rsidR="00210879" w:rsidRPr="00221DFF" w:rsidRDefault="00210879" w:rsidP="00256208">
            <w:pPr>
              <w:rPr>
                <w:rFonts w:cs="Arial"/>
                <w:sz w:val="20"/>
              </w:rPr>
            </w:pPr>
            <w:r>
              <w:rPr>
                <w:rFonts w:cs="Arial"/>
                <w:sz w:val="20"/>
              </w:rPr>
              <w:t>PhD</w:t>
            </w:r>
          </w:p>
        </w:tc>
        <w:tc>
          <w:tcPr>
            <w:tcW w:w="3960" w:type="dxa"/>
            <w:tcBorders>
              <w:top w:val="single" w:sz="4" w:space="0" w:color="auto"/>
              <w:left w:val="nil"/>
              <w:bottom w:val="single" w:sz="4" w:space="0" w:color="auto"/>
              <w:right w:val="nil"/>
            </w:tcBorders>
            <w:vAlign w:val="center"/>
          </w:tcPr>
          <w:p w14:paraId="7E2B0573" w14:textId="6F3FE425" w:rsidR="00210879" w:rsidRPr="00221DFF" w:rsidRDefault="00AB4B64" w:rsidP="00C2131D">
            <w:pPr>
              <w:rPr>
                <w:rFonts w:cs="Arial"/>
                <w:sz w:val="20"/>
              </w:rPr>
            </w:pPr>
            <w:r>
              <w:rPr>
                <w:rFonts w:cs="Arial"/>
                <w:sz w:val="20"/>
              </w:rPr>
              <w:t>1,2</w:t>
            </w:r>
          </w:p>
        </w:tc>
        <w:tc>
          <w:tcPr>
            <w:tcW w:w="3120" w:type="dxa"/>
            <w:tcBorders>
              <w:top w:val="single" w:sz="4" w:space="0" w:color="auto"/>
              <w:left w:val="nil"/>
              <w:bottom w:val="single" w:sz="4" w:space="0" w:color="auto"/>
              <w:right w:val="nil"/>
            </w:tcBorders>
            <w:vAlign w:val="center"/>
          </w:tcPr>
          <w:p w14:paraId="537CFF6B" w14:textId="77777777" w:rsidR="00210879" w:rsidRPr="00221DFF" w:rsidRDefault="00210879" w:rsidP="00256208">
            <w:pPr>
              <w:rPr>
                <w:rFonts w:cs="Arial"/>
                <w:sz w:val="20"/>
              </w:rPr>
            </w:pPr>
          </w:p>
        </w:tc>
        <w:tc>
          <w:tcPr>
            <w:tcW w:w="1440" w:type="dxa"/>
            <w:tcBorders>
              <w:top w:val="single" w:sz="4" w:space="0" w:color="auto"/>
              <w:left w:val="nil"/>
              <w:bottom w:val="single" w:sz="4" w:space="0" w:color="auto"/>
              <w:right w:val="nil"/>
            </w:tcBorders>
            <w:vAlign w:val="center"/>
          </w:tcPr>
          <w:p w14:paraId="7D5F8269" w14:textId="77777777" w:rsidR="00210879" w:rsidRPr="00221DFF" w:rsidRDefault="00210879" w:rsidP="00256208">
            <w:pPr>
              <w:rPr>
                <w:rFonts w:cs="Arial"/>
                <w:sz w:val="20"/>
              </w:rPr>
            </w:pPr>
          </w:p>
        </w:tc>
        <w:tc>
          <w:tcPr>
            <w:tcW w:w="1800" w:type="dxa"/>
            <w:tcBorders>
              <w:top w:val="single" w:sz="4" w:space="0" w:color="auto"/>
              <w:left w:val="nil"/>
              <w:bottom w:val="single" w:sz="4" w:space="0" w:color="auto"/>
              <w:right w:val="nil"/>
            </w:tcBorders>
            <w:vAlign w:val="center"/>
          </w:tcPr>
          <w:p w14:paraId="541AEE7A" w14:textId="77777777" w:rsidR="00210879" w:rsidRPr="00221DFF" w:rsidRDefault="00210879" w:rsidP="00256208">
            <w:pPr>
              <w:rPr>
                <w:rFonts w:cs="Arial"/>
                <w:sz w:val="20"/>
              </w:rPr>
            </w:pPr>
          </w:p>
        </w:tc>
      </w:tr>
    </w:tbl>
    <w:p w14:paraId="1734FFD7" w14:textId="77777777" w:rsidR="00AB4B64" w:rsidRPr="00AB4B64" w:rsidRDefault="00AB4B64" w:rsidP="00AB4B64">
      <w:pPr>
        <w:spacing w:after="120"/>
      </w:pPr>
    </w:p>
    <w:tbl>
      <w:tblPr>
        <w:tblW w:w="10188" w:type="dxa"/>
        <w:tblInd w:w="108" w:type="dxa"/>
        <w:tblLook w:val="0020" w:firstRow="1" w:lastRow="0" w:firstColumn="0" w:lastColumn="0" w:noHBand="0" w:noVBand="0"/>
      </w:tblPr>
      <w:tblGrid>
        <w:gridCol w:w="2124"/>
        <w:gridCol w:w="8064"/>
      </w:tblGrid>
      <w:tr w:rsidR="00AB4B64" w:rsidRPr="00AB4B64" w14:paraId="41CDBDED" w14:textId="77777777" w:rsidTr="007846CC">
        <w:trPr>
          <w:cantSplit/>
          <w:trHeight w:val="432"/>
        </w:trPr>
        <w:tc>
          <w:tcPr>
            <w:tcW w:w="10188" w:type="dxa"/>
            <w:gridSpan w:val="2"/>
            <w:tcBorders>
              <w:top w:val="nil"/>
              <w:left w:val="nil"/>
              <w:bottom w:val="single" w:sz="12" w:space="0" w:color="990000"/>
              <w:right w:val="nil"/>
            </w:tcBorders>
            <w:shd w:val="clear" w:color="auto" w:fill="E6E6E6"/>
            <w:vAlign w:val="center"/>
          </w:tcPr>
          <w:p w14:paraId="67479FE3" w14:textId="77777777" w:rsidR="00AB4B64" w:rsidRPr="00AB4B64" w:rsidRDefault="00AB4B64" w:rsidP="00AB4B64">
            <w:pPr>
              <w:rPr>
                <w:b/>
                <w:sz w:val="20"/>
              </w:rPr>
            </w:pPr>
            <w:r w:rsidRPr="00AB4B64">
              <w:rPr>
                <w:b/>
                <w:sz w:val="20"/>
              </w:rPr>
              <w:t>Affiliations</w:t>
            </w:r>
          </w:p>
        </w:tc>
      </w:tr>
      <w:tr w:rsidR="00AB4B64" w:rsidRPr="00AB4B64" w14:paraId="4C5FFF94" w14:textId="77777777" w:rsidTr="007846CC">
        <w:trPr>
          <w:trHeight w:val="432"/>
        </w:trPr>
        <w:tc>
          <w:tcPr>
            <w:tcW w:w="2124" w:type="dxa"/>
            <w:tcBorders>
              <w:top w:val="nil"/>
              <w:left w:val="nil"/>
              <w:bottom w:val="single" w:sz="4" w:space="0" w:color="auto"/>
              <w:right w:val="nil"/>
            </w:tcBorders>
            <w:vAlign w:val="bottom"/>
          </w:tcPr>
          <w:p w14:paraId="0CFC0D9C" w14:textId="77777777" w:rsidR="00AB4B64" w:rsidRPr="00AB4B64" w:rsidRDefault="00AB4B64" w:rsidP="00AB4B64">
            <w:pPr>
              <w:rPr>
                <w:sz w:val="20"/>
              </w:rPr>
            </w:pPr>
            <w:r w:rsidRPr="00AB4B64">
              <w:rPr>
                <w:sz w:val="20"/>
              </w:rPr>
              <w:t>Label</w:t>
            </w:r>
          </w:p>
        </w:tc>
        <w:tc>
          <w:tcPr>
            <w:tcW w:w="8064" w:type="dxa"/>
            <w:tcBorders>
              <w:top w:val="nil"/>
              <w:left w:val="nil"/>
              <w:bottom w:val="single" w:sz="4" w:space="0" w:color="auto"/>
              <w:right w:val="nil"/>
            </w:tcBorders>
            <w:vAlign w:val="bottom"/>
          </w:tcPr>
          <w:p w14:paraId="3CA2CB5A" w14:textId="77777777" w:rsidR="00AB4B64" w:rsidRPr="00AB4B64" w:rsidRDefault="00AB4B64" w:rsidP="00AB4B64">
            <w:pPr>
              <w:rPr>
                <w:sz w:val="20"/>
              </w:rPr>
            </w:pPr>
            <w:r w:rsidRPr="00AB4B64">
              <w:rPr>
                <w:sz w:val="20"/>
              </w:rPr>
              <w:t>Organization</w:t>
            </w:r>
          </w:p>
        </w:tc>
      </w:tr>
      <w:tr w:rsidR="00AB4B64" w:rsidRPr="00AB4B64" w14:paraId="4A73E3DD" w14:textId="77777777" w:rsidTr="007846CC">
        <w:trPr>
          <w:trHeight w:val="432"/>
        </w:trPr>
        <w:tc>
          <w:tcPr>
            <w:tcW w:w="2124" w:type="dxa"/>
            <w:tcBorders>
              <w:top w:val="nil"/>
              <w:left w:val="nil"/>
              <w:bottom w:val="single" w:sz="4" w:space="0" w:color="auto"/>
              <w:right w:val="nil"/>
            </w:tcBorders>
            <w:vAlign w:val="center"/>
          </w:tcPr>
          <w:p w14:paraId="19DCC056" w14:textId="6B18E972" w:rsidR="00AB4B64" w:rsidRPr="00AB4B64" w:rsidRDefault="00AB4B64" w:rsidP="00AB4B64">
            <w:pPr>
              <w:rPr>
                <w:sz w:val="20"/>
              </w:rPr>
            </w:pPr>
            <w:r>
              <w:rPr>
                <w:sz w:val="20"/>
              </w:rPr>
              <w:t>1</w:t>
            </w:r>
          </w:p>
        </w:tc>
        <w:tc>
          <w:tcPr>
            <w:tcW w:w="8064" w:type="dxa"/>
            <w:tcBorders>
              <w:top w:val="nil"/>
              <w:left w:val="nil"/>
              <w:bottom w:val="single" w:sz="4" w:space="0" w:color="auto"/>
              <w:right w:val="nil"/>
            </w:tcBorders>
            <w:vAlign w:val="center"/>
          </w:tcPr>
          <w:p w14:paraId="44CB687A" w14:textId="35C0B213" w:rsidR="00AB4B64" w:rsidRPr="00AB4B64" w:rsidRDefault="00AB4B64" w:rsidP="00AB4B64">
            <w:pPr>
              <w:rPr>
                <w:sz w:val="20"/>
              </w:rPr>
            </w:pPr>
            <w:r>
              <w:rPr>
                <w:sz w:val="20"/>
              </w:rPr>
              <w:t>NCBI</w:t>
            </w:r>
          </w:p>
        </w:tc>
      </w:tr>
      <w:tr w:rsidR="00AB4B64" w:rsidRPr="00AB4B64" w14:paraId="3021855F" w14:textId="77777777" w:rsidTr="007846CC">
        <w:trPr>
          <w:trHeight w:val="432"/>
        </w:trPr>
        <w:tc>
          <w:tcPr>
            <w:tcW w:w="2124" w:type="dxa"/>
            <w:tcBorders>
              <w:top w:val="nil"/>
              <w:left w:val="nil"/>
              <w:bottom w:val="single" w:sz="4" w:space="0" w:color="auto"/>
              <w:right w:val="nil"/>
            </w:tcBorders>
            <w:vAlign w:val="center"/>
          </w:tcPr>
          <w:p w14:paraId="5AF9836E" w14:textId="7F8B3FF5" w:rsidR="00AB4B64" w:rsidRPr="00AB4B64" w:rsidRDefault="00AB4B64" w:rsidP="00AB4B64">
            <w:pPr>
              <w:rPr>
                <w:sz w:val="20"/>
              </w:rPr>
            </w:pPr>
            <w:r>
              <w:rPr>
                <w:sz w:val="20"/>
              </w:rPr>
              <w:t>2</w:t>
            </w:r>
          </w:p>
        </w:tc>
        <w:tc>
          <w:tcPr>
            <w:tcW w:w="8064" w:type="dxa"/>
            <w:tcBorders>
              <w:top w:val="nil"/>
              <w:left w:val="nil"/>
              <w:bottom w:val="single" w:sz="4" w:space="0" w:color="auto"/>
              <w:right w:val="nil"/>
            </w:tcBorders>
            <w:vAlign w:val="center"/>
          </w:tcPr>
          <w:p w14:paraId="3133ED40" w14:textId="1C2196D6" w:rsidR="00AB4B64" w:rsidRPr="00AB4B64" w:rsidRDefault="00AB4B64" w:rsidP="00AB4B64">
            <w:pPr>
              <w:rPr>
                <w:sz w:val="20"/>
              </w:rPr>
            </w:pPr>
            <w:r>
              <w:rPr>
                <w:sz w:val="20"/>
              </w:rPr>
              <w:t>University Mohammad 1, Morocco</w:t>
            </w:r>
          </w:p>
        </w:tc>
      </w:tr>
      <w:tr w:rsidR="00AB4B64" w:rsidRPr="00AB4B64" w14:paraId="0FE42947" w14:textId="77777777" w:rsidTr="007846CC">
        <w:trPr>
          <w:trHeight w:val="432"/>
        </w:trPr>
        <w:tc>
          <w:tcPr>
            <w:tcW w:w="2124" w:type="dxa"/>
            <w:tcBorders>
              <w:top w:val="single" w:sz="4" w:space="0" w:color="auto"/>
              <w:left w:val="nil"/>
              <w:bottom w:val="single" w:sz="4" w:space="0" w:color="auto"/>
              <w:right w:val="nil"/>
            </w:tcBorders>
            <w:vAlign w:val="center"/>
          </w:tcPr>
          <w:p w14:paraId="11064E2E" w14:textId="77777777" w:rsidR="00AB4B64" w:rsidRPr="00AB4B64" w:rsidRDefault="00AB4B64" w:rsidP="00AB4B64">
            <w:pPr>
              <w:rPr>
                <w:sz w:val="20"/>
              </w:rPr>
            </w:pPr>
          </w:p>
        </w:tc>
        <w:tc>
          <w:tcPr>
            <w:tcW w:w="8064" w:type="dxa"/>
            <w:tcBorders>
              <w:top w:val="single" w:sz="4" w:space="0" w:color="auto"/>
              <w:left w:val="nil"/>
              <w:bottom w:val="single" w:sz="4" w:space="0" w:color="auto"/>
              <w:right w:val="nil"/>
            </w:tcBorders>
            <w:vAlign w:val="center"/>
          </w:tcPr>
          <w:p w14:paraId="39F1E4D2" w14:textId="77777777" w:rsidR="00AB4B64" w:rsidRPr="00AB4B64" w:rsidRDefault="00AB4B64" w:rsidP="00AB4B64">
            <w:pPr>
              <w:rPr>
                <w:sz w:val="20"/>
              </w:rPr>
            </w:pPr>
          </w:p>
        </w:tc>
      </w:tr>
      <w:tr w:rsidR="00AB4B64" w:rsidRPr="00AB4B64" w14:paraId="6723EAC2" w14:textId="77777777" w:rsidTr="007846CC">
        <w:trPr>
          <w:trHeight w:val="432"/>
        </w:trPr>
        <w:tc>
          <w:tcPr>
            <w:tcW w:w="2124" w:type="dxa"/>
            <w:tcBorders>
              <w:top w:val="single" w:sz="4" w:space="0" w:color="auto"/>
              <w:left w:val="nil"/>
              <w:bottom w:val="single" w:sz="4" w:space="0" w:color="auto"/>
              <w:right w:val="nil"/>
            </w:tcBorders>
            <w:vAlign w:val="center"/>
          </w:tcPr>
          <w:p w14:paraId="3F104C3B" w14:textId="77777777" w:rsidR="00AB4B64" w:rsidRPr="00AB4B64" w:rsidRDefault="00AB4B64" w:rsidP="00AB4B64">
            <w:pPr>
              <w:rPr>
                <w:sz w:val="20"/>
              </w:rPr>
            </w:pPr>
          </w:p>
        </w:tc>
        <w:tc>
          <w:tcPr>
            <w:tcW w:w="8064" w:type="dxa"/>
            <w:tcBorders>
              <w:top w:val="single" w:sz="4" w:space="0" w:color="auto"/>
              <w:left w:val="nil"/>
              <w:bottom w:val="single" w:sz="4" w:space="0" w:color="auto"/>
              <w:right w:val="nil"/>
            </w:tcBorders>
            <w:vAlign w:val="center"/>
          </w:tcPr>
          <w:p w14:paraId="6F493930" w14:textId="77777777" w:rsidR="00AB4B64" w:rsidRPr="00AB4B64" w:rsidRDefault="00AB4B64" w:rsidP="00AB4B64">
            <w:pPr>
              <w:rPr>
                <w:sz w:val="20"/>
              </w:rPr>
            </w:pPr>
          </w:p>
        </w:tc>
      </w:tr>
    </w:tbl>
    <w:p w14:paraId="67F20C49" w14:textId="77777777" w:rsidR="00AB4B64" w:rsidRPr="00AB4B64" w:rsidRDefault="00AB4B64" w:rsidP="00AB4B64">
      <w:pPr>
        <w:shd w:val="clear" w:color="auto" w:fill="FFFF00"/>
        <w:spacing w:before="120" w:after="120"/>
        <w:rPr>
          <w:sz w:val="20"/>
        </w:rPr>
      </w:pPr>
      <w:r w:rsidRPr="00AB4B64">
        <w:rPr>
          <w:sz w:val="20"/>
        </w:rPr>
        <w:t>Use one row for each affiliation. Link affiliations by label to the respective author. Add rows to add more affiliations.</w:t>
      </w:r>
    </w:p>
    <w:p w14:paraId="1B029E94" w14:textId="77777777" w:rsidR="00AB4B64" w:rsidRDefault="00AB4B64" w:rsidP="003E2CF2">
      <w:pPr>
        <w:rPr>
          <w:rFonts w:cs="Arial"/>
          <w:sz w:val="20"/>
        </w:rPr>
      </w:pPr>
    </w:p>
    <w:p w14:paraId="410C7D70" w14:textId="77777777" w:rsidR="00AB4B64" w:rsidRPr="00221DFF" w:rsidRDefault="00AB4B64" w:rsidP="003E2CF2">
      <w:pPr>
        <w:rPr>
          <w:rFonts w:cs="Arial"/>
          <w:sz w:val="20"/>
        </w:rPr>
        <w:sectPr w:rsidR="00AB4B64" w:rsidRPr="00221DFF" w:rsidSect="00AD2F0B">
          <w:type w:val="continuous"/>
          <w:pgSz w:w="12240" w:h="15840" w:code="1"/>
          <w:pgMar w:top="1080" w:right="1080" w:bottom="1080" w:left="1080" w:header="0" w:footer="0" w:gutter="0"/>
          <w:cols w:space="720"/>
          <w:docGrid w:linePitch="326"/>
        </w:sectPr>
      </w:pPr>
    </w:p>
    <w:p w14:paraId="1207D58A" w14:textId="77777777" w:rsidR="00E903D3" w:rsidRPr="00221DFF" w:rsidRDefault="00D57878" w:rsidP="00AF341B">
      <w:pPr>
        <w:pStyle w:val="Heading1"/>
        <w:rPr>
          <w:rFonts w:cs="Arial"/>
          <w:sz w:val="20"/>
        </w:rPr>
      </w:pPr>
      <w:r w:rsidRPr="00221DFF">
        <w:rPr>
          <w:rFonts w:cs="Arial"/>
          <w:sz w:val="20"/>
        </w:rPr>
        <w:t>Protein Clusters</w:t>
      </w:r>
    </w:p>
    <w:p w14:paraId="5197CC59" w14:textId="77777777" w:rsidR="00AF341B" w:rsidRPr="00700D74" w:rsidRDefault="00AF341B" w:rsidP="00AA2C82">
      <w:pPr>
        <w:pStyle w:val="Heading2"/>
        <w:rPr>
          <w:rFonts w:cs="Arial"/>
          <w:color w:val="7F7F7F" w:themeColor="text1" w:themeTint="80"/>
          <w:sz w:val="24"/>
          <w:szCs w:val="24"/>
        </w:rPr>
      </w:pPr>
      <w:r w:rsidRPr="00700D74">
        <w:rPr>
          <w:rFonts w:cs="Arial"/>
          <w:color w:val="7F7F7F" w:themeColor="text1" w:themeTint="80"/>
          <w:sz w:val="24"/>
          <w:szCs w:val="24"/>
        </w:rPr>
        <w:t>Scope</w:t>
      </w:r>
    </w:p>
    <w:p w14:paraId="47875B88" w14:textId="462758F2" w:rsidR="00E02A03" w:rsidRPr="00221DFF" w:rsidRDefault="000550D2" w:rsidP="000550D2">
      <w:pPr>
        <w:rPr>
          <w:rFonts w:cs="Arial"/>
          <w:sz w:val="20"/>
        </w:rPr>
      </w:pPr>
      <w:r w:rsidRPr="00221DFF">
        <w:rPr>
          <w:rFonts w:cs="Arial"/>
          <w:sz w:val="20"/>
        </w:rPr>
        <w:t xml:space="preserve">The Protein Clusters dataset consists of </w:t>
      </w:r>
      <w:r w:rsidR="002E50CA">
        <w:rPr>
          <w:rFonts w:cs="Arial"/>
          <w:sz w:val="20"/>
        </w:rPr>
        <w:t xml:space="preserve">organized groups (clusters) of </w:t>
      </w:r>
      <w:r w:rsidRPr="00221DFF">
        <w:rPr>
          <w:rFonts w:cs="Arial"/>
          <w:sz w:val="20"/>
        </w:rPr>
        <w:t xml:space="preserve">proteins encoded by complete and draft genomes from the </w:t>
      </w:r>
      <w:r w:rsidR="00DE67E6">
        <w:rPr>
          <w:rFonts w:cs="Arial"/>
          <w:sz w:val="20"/>
        </w:rPr>
        <w:t>NCBI Reference Sequence (</w:t>
      </w:r>
      <w:r w:rsidRPr="00221DFF">
        <w:rPr>
          <w:rFonts w:cs="Arial"/>
          <w:sz w:val="20"/>
        </w:rPr>
        <w:t>RefSeq</w:t>
      </w:r>
      <w:r w:rsidR="00DE67E6">
        <w:rPr>
          <w:rFonts w:cs="Arial"/>
          <w:sz w:val="20"/>
        </w:rPr>
        <w:t>)</w:t>
      </w:r>
      <w:r w:rsidRPr="00221DFF">
        <w:rPr>
          <w:rFonts w:cs="Arial"/>
          <w:sz w:val="20"/>
        </w:rPr>
        <w:t xml:space="preserve"> collection of microorganisms: prokaryotes, viruses, fungi, protozoans</w:t>
      </w:r>
      <w:r w:rsidR="002A37AE" w:rsidRPr="00221DFF">
        <w:rPr>
          <w:rFonts w:cs="Arial"/>
          <w:sz w:val="20"/>
        </w:rPr>
        <w:t xml:space="preserve">; it also includes protein clusters from </w:t>
      </w:r>
      <w:r w:rsidR="00E01087" w:rsidRPr="00221DFF">
        <w:rPr>
          <w:rFonts w:cs="Arial"/>
          <w:sz w:val="20"/>
        </w:rPr>
        <w:t>Ref</w:t>
      </w:r>
      <w:r w:rsidR="007D6207">
        <w:rPr>
          <w:rFonts w:cs="Arial"/>
          <w:sz w:val="20"/>
        </w:rPr>
        <w:t>S</w:t>
      </w:r>
      <w:r w:rsidR="00E01087" w:rsidRPr="00221DFF">
        <w:rPr>
          <w:rFonts w:cs="Arial"/>
          <w:sz w:val="20"/>
        </w:rPr>
        <w:t xml:space="preserve">eq </w:t>
      </w:r>
      <w:r w:rsidRPr="00221DFF">
        <w:rPr>
          <w:rFonts w:cs="Arial"/>
          <w:sz w:val="20"/>
        </w:rPr>
        <w:t xml:space="preserve">genomes of </w:t>
      </w:r>
      <w:r w:rsidR="002A37AE" w:rsidRPr="00221DFF">
        <w:rPr>
          <w:rFonts w:cs="Arial"/>
          <w:sz w:val="20"/>
        </w:rPr>
        <w:t xml:space="preserve">plants, </w:t>
      </w:r>
      <w:r w:rsidRPr="00221DFF">
        <w:rPr>
          <w:rFonts w:cs="Arial"/>
          <w:sz w:val="20"/>
        </w:rPr>
        <w:t>chloroplasts</w:t>
      </w:r>
      <w:r w:rsidR="007D6207">
        <w:rPr>
          <w:rFonts w:cs="Arial"/>
          <w:sz w:val="20"/>
        </w:rPr>
        <w:t>,</w:t>
      </w:r>
      <w:r w:rsidRPr="00221DFF">
        <w:rPr>
          <w:rFonts w:cs="Arial"/>
          <w:sz w:val="20"/>
        </w:rPr>
        <w:t xml:space="preserve"> and mitoc</w:t>
      </w:r>
      <w:r w:rsidR="002A37AE" w:rsidRPr="00221DFF">
        <w:rPr>
          <w:rFonts w:cs="Arial"/>
          <w:sz w:val="20"/>
        </w:rPr>
        <w:t xml:space="preserve">hondria. Clusters for each group are created and curated separately and given a different accession prefix. The primary goal of </w:t>
      </w:r>
      <w:r w:rsidR="007D6207">
        <w:rPr>
          <w:rFonts w:cs="Arial"/>
          <w:sz w:val="20"/>
        </w:rPr>
        <w:t>P</w:t>
      </w:r>
      <w:r w:rsidR="007D6207" w:rsidRPr="00221DFF">
        <w:rPr>
          <w:rFonts w:cs="Arial"/>
          <w:sz w:val="20"/>
        </w:rPr>
        <w:t xml:space="preserve">rotein </w:t>
      </w:r>
      <w:r w:rsidR="007D6207">
        <w:rPr>
          <w:rFonts w:cs="Arial"/>
          <w:sz w:val="20"/>
        </w:rPr>
        <w:t>C</w:t>
      </w:r>
      <w:r w:rsidR="007F5020" w:rsidRPr="00221DFF">
        <w:rPr>
          <w:rFonts w:cs="Arial"/>
          <w:sz w:val="20"/>
        </w:rPr>
        <w:t xml:space="preserve">lusters is </w:t>
      </w:r>
      <w:r w:rsidR="004E0F8B">
        <w:rPr>
          <w:rFonts w:cs="Arial"/>
          <w:sz w:val="20"/>
        </w:rPr>
        <w:t>to provide</w:t>
      </w:r>
      <w:r w:rsidR="007F5020" w:rsidRPr="00221DFF">
        <w:rPr>
          <w:rFonts w:cs="Arial"/>
          <w:sz w:val="20"/>
        </w:rPr>
        <w:t xml:space="preserve"> the support to functional annotation of </w:t>
      </w:r>
      <w:hyperlink r:id="rId10" w:history="1">
        <w:r w:rsidR="007F5020" w:rsidRPr="00246C70">
          <w:rPr>
            <w:rStyle w:val="Hyperlink"/>
            <w:rFonts w:cs="Arial"/>
            <w:sz w:val="20"/>
          </w:rPr>
          <w:t>Ref</w:t>
        </w:r>
        <w:r w:rsidR="00837CD9" w:rsidRPr="00246C70">
          <w:rPr>
            <w:rStyle w:val="Hyperlink"/>
            <w:rFonts w:cs="Arial"/>
            <w:sz w:val="20"/>
          </w:rPr>
          <w:t>Seq</w:t>
        </w:r>
      </w:hyperlink>
      <w:r w:rsidR="00246C70">
        <w:rPr>
          <w:rFonts w:cs="Arial"/>
          <w:sz w:val="20"/>
        </w:rPr>
        <w:t xml:space="preserve"> genomes</w:t>
      </w:r>
      <w:r w:rsidR="00396A60" w:rsidRPr="00221DFF">
        <w:rPr>
          <w:rFonts w:cs="Arial"/>
          <w:sz w:val="20"/>
        </w:rPr>
        <w:t>. Functional annotation of novel proteins is based on the assumption that proteins with high level</w:t>
      </w:r>
      <w:r w:rsidR="00E573F9">
        <w:rPr>
          <w:rFonts w:cs="Arial"/>
          <w:sz w:val="20"/>
        </w:rPr>
        <w:t>s</w:t>
      </w:r>
      <w:r w:rsidR="00396A60" w:rsidRPr="00221DFF">
        <w:rPr>
          <w:rFonts w:cs="Arial"/>
          <w:sz w:val="20"/>
        </w:rPr>
        <w:t xml:space="preserve"> of sequence similarity are likely to share the same function. </w:t>
      </w:r>
      <w:r w:rsidR="004A411D" w:rsidRPr="00221DFF">
        <w:rPr>
          <w:rFonts w:cs="Arial"/>
          <w:sz w:val="20"/>
        </w:rPr>
        <w:t>This oversimplified model of a linear evolution where similar proteins evolve from a single ancestor</w:t>
      </w:r>
      <w:r w:rsidR="00A47ECF" w:rsidRPr="00221DFF">
        <w:rPr>
          <w:rFonts w:cs="Arial"/>
          <w:sz w:val="20"/>
        </w:rPr>
        <w:t xml:space="preserve"> is further complicated by the events of gene duplication. Clusters of related (homologous) proteins include both orthologs and paralogs. Orthologs are genes in different organisms (species) that evolved </w:t>
      </w:r>
      <w:r w:rsidR="00A47ECF" w:rsidRPr="00221DFF">
        <w:rPr>
          <w:rFonts w:cs="Arial"/>
          <w:sz w:val="20"/>
        </w:rPr>
        <w:lastRenderedPageBreak/>
        <w:t>from a common ancestral gene by speciation;</w:t>
      </w:r>
      <w:r w:rsidR="00F0495B">
        <w:rPr>
          <w:rFonts w:cs="Arial"/>
          <w:sz w:val="20"/>
        </w:rPr>
        <w:t xml:space="preserve"> </w:t>
      </w:r>
      <w:r w:rsidR="00A47ECF" w:rsidRPr="00221DFF">
        <w:rPr>
          <w:rFonts w:cs="Arial"/>
          <w:sz w:val="20"/>
        </w:rPr>
        <w:t xml:space="preserve">paralogs are genes related by duplication within a genome. The definition </w:t>
      </w:r>
      <w:r w:rsidR="005B5C90" w:rsidRPr="00221DFF">
        <w:rPr>
          <w:rFonts w:cs="Arial"/>
          <w:sz w:val="20"/>
        </w:rPr>
        <w:t>was</w:t>
      </w:r>
      <w:r w:rsidR="00A47ECF" w:rsidRPr="00221DFF">
        <w:rPr>
          <w:rFonts w:cs="Arial"/>
          <w:sz w:val="20"/>
        </w:rPr>
        <w:t xml:space="preserve"> first introduced by Fitch in 1970</w:t>
      </w:r>
      <w:r w:rsidR="00336417">
        <w:rPr>
          <w:rFonts w:cs="Arial"/>
          <w:sz w:val="20"/>
        </w:rPr>
        <w:t xml:space="preserve"> </w:t>
      </w:r>
      <w:r w:rsidR="00CC7B48">
        <w:rPr>
          <w:rFonts w:cs="Arial"/>
          <w:sz w:val="20"/>
        </w:rPr>
        <w:t>(</w:t>
      </w:r>
      <w:r w:rsidR="002E50CA">
        <w:rPr>
          <w:rFonts w:cs="Arial"/>
          <w:sz w:val="20"/>
        </w:rPr>
        <w:t>7</w:t>
      </w:r>
      <w:r w:rsidR="00CC7B48">
        <w:rPr>
          <w:rFonts w:cs="Arial"/>
          <w:sz w:val="20"/>
        </w:rPr>
        <w:t>)</w:t>
      </w:r>
      <w:r w:rsidR="008F0B11" w:rsidRPr="00221DFF">
        <w:rPr>
          <w:rFonts w:cs="Arial"/>
          <w:sz w:val="20"/>
        </w:rPr>
        <w:t xml:space="preserve">. The analysis of protein families from various organisms has shown that this definition does not embrace all the complexity of relationships of genes </w:t>
      </w:r>
      <w:r w:rsidR="005B5C90" w:rsidRPr="00221DFF">
        <w:rPr>
          <w:rFonts w:cs="Arial"/>
          <w:sz w:val="20"/>
        </w:rPr>
        <w:t xml:space="preserve">from different </w:t>
      </w:r>
      <w:r w:rsidR="00061C36" w:rsidRPr="002F3AF2">
        <w:rPr>
          <w:rFonts w:cs="Arial"/>
          <w:sz w:val="20"/>
        </w:rPr>
        <w:t>organisms</w:t>
      </w:r>
      <w:r w:rsidR="002F3AF2" w:rsidRPr="002F3AF2">
        <w:rPr>
          <w:rFonts w:cs="Arial"/>
          <w:sz w:val="20"/>
        </w:rPr>
        <w:t xml:space="preserve">. </w:t>
      </w:r>
      <w:r w:rsidR="002F3AF2" w:rsidRPr="002F3AF2">
        <w:rPr>
          <w:sz w:val="20"/>
        </w:rPr>
        <w:t xml:space="preserve">For more details see Koonin </w:t>
      </w:r>
      <w:r w:rsidR="002F3AF2" w:rsidRPr="002F3AF2">
        <w:rPr>
          <w:i/>
          <w:sz w:val="20"/>
        </w:rPr>
        <w:t>et al</w:t>
      </w:r>
      <w:r w:rsidR="002F3AF2" w:rsidRPr="002F3AF2">
        <w:rPr>
          <w:sz w:val="20"/>
        </w:rPr>
        <w:t>. 2005</w:t>
      </w:r>
      <w:r w:rsidR="003A63EB" w:rsidRPr="002F3AF2">
        <w:rPr>
          <w:rFonts w:cs="Arial"/>
          <w:sz w:val="20"/>
        </w:rPr>
        <w:t xml:space="preserve"> </w:t>
      </w:r>
      <w:r w:rsidR="00CC7B48">
        <w:rPr>
          <w:rFonts w:cs="Arial"/>
          <w:sz w:val="20"/>
        </w:rPr>
        <w:t>(</w:t>
      </w:r>
      <w:r w:rsidR="003A63EB" w:rsidRPr="002F3AF2">
        <w:rPr>
          <w:rFonts w:cs="Arial"/>
          <w:sz w:val="20"/>
        </w:rPr>
        <w:t>16</w:t>
      </w:r>
      <w:r w:rsidR="00CC7B48">
        <w:rPr>
          <w:rFonts w:cs="Arial"/>
          <w:sz w:val="20"/>
        </w:rPr>
        <w:t>)</w:t>
      </w:r>
      <w:r w:rsidR="00061C36" w:rsidRPr="002F3AF2">
        <w:rPr>
          <w:rFonts w:cs="Arial"/>
          <w:sz w:val="20"/>
        </w:rPr>
        <w:t xml:space="preserve">. </w:t>
      </w:r>
      <w:r w:rsidR="00E573F9">
        <w:rPr>
          <w:rFonts w:cs="Arial"/>
          <w:sz w:val="20"/>
        </w:rPr>
        <w:t xml:space="preserve">The </w:t>
      </w:r>
      <w:r w:rsidR="009137F0" w:rsidRPr="002F3AF2">
        <w:rPr>
          <w:rFonts w:cs="Arial"/>
          <w:sz w:val="20"/>
        </w:rPr>
        <w:t xml:space="preserve">NCBI Protein </w:t>
      </w:r>
      <w:r w:rsidR="007D6207">
        <w:rPr>
          <w:rFonts w:cs="Arial"/>
          <w:sz w:val="20"/>
        </w:rPr>
        <w:t>C</w:t>
      </w:r>
      <w:r w:rsidR="009137F0" w:rsidRPr="002F3AF2">
        <w:rPr>
          <w:rFonts w:cs="Arial"/>
          <w:sz w:val="20"/>
        </w:rPr>
        <w:t xml:space="preserve">lusters dataset contains automatically generated clusters that do not distinguish orthologs and paralogs. During manual </w:t>
      </w:r>
      <w:r w:rsidR="008D4CA8" w:rsidRPr="002F3AF2">
        <w:rPr>
          <w:rFonts w:cs="Arial"/>
          <w:sz w:val="20"/>
        </w:rPr>
        <w:t>evaluation</w:t>
      </w:r>
      <w:r w:rsidR="009137F0" w:rsidRPr="002F3AF2">
        <w:rPr>
          <w:rFonts w:cs="Arial"/>
          <w:sz w:val="20"/>
        </w:rPr>
        <w:t xml:space="preserve"> some clusters </w:t>
      </w:r>
      <w:r w:rsidR="008D4CA8" w:rsidRPr="002F3AF2">
        <w:rPr>
          <w:rFonts w:cs="Arial"/>
          <w:sz w:val="20"/>
        </w:rPr>
        <w:t>containing</w:t>
      </w:r>
      <w:r w:rsidR="008D4CA8" w:rsidRPr="00221DFF">
        <w:rPr>
          <w:rFonts w:cs="Arial"/>
          <w:sz w:val="20"/>
        </w:rPr>
        <w:t xml:space="preserve"> paralogs </w:t>
      </w:r>
      <w:r w:rsidR="009137F0" w:rsidRPr="00221DFF">
        <w:rPr>
          <w:rFonts w:cs="Arial"/>
          <w:sz w:val="20"/>
        </w:rPr>
        <w:t xml:space="preserve">can be split </w:t>
      </w:r>
      <w:r w:rsidR="008D4CA8" w:rsidRPr="00221DFF">
        <w:rPr>
          <w:rFonts w:cs="Arial"/>
          <w:sz w:val="20"/>
        </w:rPr>
        <w:t>by curator</w:t>
      </w:r>
      <w:r w:rsidR="00E573F9">
        <w:rPr>
          <w:rFonts w:cs="Arial"/>
          <w:sz w:val="20"/>
        </w:rPr>
        <w:t>s,</w:t>
      </w:r>
      <w:r w:rsidR="008D4CA8" w:rsidRPr="00221DFF">
        <w:rPr>
          <w:rFonts w:cs="Arial"/>
          <w:sz w:val="20"/>
        </w:rPr>
        <w:t xml:space="preserve"> especially if the paralogs are known to have different functions.</w:t>
      </w:r>
      <w:r w:rsidR="009137F0" w:rsidRPr="00221DFF">
        <w:rPr>
          <w:rFonts w:cs="Arial"/>
          <w:sz w:val="20"/>
        </w:rPr>
        <w:t xml:space="preserve"> </w:t>
      </w:r>
    </w:p>
    <w:p w14:paraId="2ECF4B25" w14:textId="77777777" w:rsidR="00AF341B" w:rsidRPr="00700D74" w:rsidRDefault="00AF341B" w:rsidP="00AF341B">
      <w:pPr>
        <w:pStyle w:val="Heading2"/>
        <w:rPr>
          <w:rFonts w:cs="Arial"/>
          <w:color w:val="7F7F7F" w:themeColor="text1" w:themeTint="80"/>
          <w:sz w:val="24"/>
          <w:szCs w:val="24"/>
        </w:rPr>
      </w:pPr>
      <w:r w:rsidRPr="00700D74">
        <w:rPr>
          <w:rFonts w:cs="Arial"/>
          <w:color w:val="7F7F7F" w:themeColor="text1" w:themeTint="80"/>
          <w:sz w:val="24"/>
          <w:szCs w:val="24"/>
        </w:rPr>
        <w:t>History</w:t>
      </w:r>
    </w:p>
    <w:p w14:paraId="6182A301" w14:textId="0CA77BC2" w:rsidR="00E01087" w:rsidRPr="00221DFF" w:rsidRDefault="00DA2B43" w:rsidP="00E01087">
      <w:pPr>
        <w:rPr>
          <w:rFonts w:cs="Arial"/>
          <w:sz w:val="20"/>
        </w:rPr>
      </w:pPr>
      <w:r w:rsidRPr="00221DFF">
        <w:rPr>
          <w:rFonts w:cs="Arial"/>
          <w:sz w:val="20"/>
        </w:rPr>
        <w:t xml:space="preserve">The first complete bacterial genome of </w:t>
      </w:r>
      <w:r w:rsidRPr="00221DFF">
        <w:rPr>
          <w:rStyle w:val="Emphasis"/>
          <w:rFonts w:cs="Arial"/>
          <w:sz w:val="20"/>
        </w:rPr>
        <w:t>Haemophilus influenzae</w:t>
      </w:r>
      <w:r w:rsidRPr="00221DFF">
        <w:rPr>
          <w:rFonts w:cs="Arial"/>
          <w:sz w:val="20"/>
        </w:rPr>
        <w:t xml:space="preserve"> Rd KW20 sequenced and release</w:t>
      </w:r>
      <w:r w:rsidR="00B97C45" w:rsidRPr="00221DFF">
        <w:rPr>
          <w:rFonts w:cs="Arial"/>
          <w:sz w:val="20"/>
        </w:rPr>
        <w:t>d</w:t>
      </w:r>
      <w:r w:rsidRPr="00221DFF">
        <w:rPr>
          <w:rFonts w:cs="Arial"/>
          <w:sz w:val="20"/>
        </w:rPr>
        <w:t xml:space="preserve"> in 1</w:t>
      </w:r>
      <w:r w:rsidR="00132D06">
        <w:rPr>
          <w:rFonts w:cs="Arial"/>
          <w:sz w:val="20"/>
        </w:rPr>
        <w:t xml:space="preserve">995 </w:t>
      </w:r>
      <w:r w:rsidR="00EA11AC" w:rsidRPr="00221DFF">
        <w:rPr>
          <w:rFonts w:cs="Arial"/>
          <w:sz w:val="20"/>
        </w:rPr>
        <w:t>opened a new era in genome analysis</w:t>
      </w:r>
      <w:r w:rsidR="009E78BB">
        <w:rPr>
          <w:rFonts w:cs="Arial"/>
          <w:sz w:val="20"/>
        </w:rPr>
        <w:t xml:space="preserve"> </w:t>
      </w:r>
      <w:r w:rsidR="00CC7B48">
        <w:rPr>
          <w:rFonts w:cs="Arial"/>
          <w:sz w:val="20"/>
        </w:rPr>
        <w:t>(</w:t>
      </w:r>
      <w:r w:rsidR="009E78BB">
        <w:rPr>
          <w:rFonts w:cs="Arial"/>
          <w:sz w:val="20"/>
        </w:rPr>
        <w:t>8</w:t>
      </w:r>
      <w:r w:rsidR="00CC7B48">
        <w:rPr>
          <w:rFonts w:cs="Arial"/>
          <w:sz w:val="20"/>
        </w:rPr>
        <w:t>)</w:t>
      </w:r>
      <w:r w:rsidR="00EA11AC" w:rsidRPr="00221DFF">
        <w:rPr>
          <w:rFonts w:cs="Arial"/>
          <w:sz w:val="20"/>
        </w:rPr>
        <w:t xml:space="preserve">. In the following year four more genomes </w:t>
      </w:r>
      <w:r w:rsidR="00EF43B4" w:rsidRPr="00221DFF">
        <w:rPr>
          <w:rFonts w:cs="Arial"/>
          <w:sz w:val="20"/>
        </w:rPr>
        <w:t>were</w:t>
      </w:r>
      <w:r w:rsidR="00EA11AC" w:rsidRPr="00221DFF">
        <w:rPr>
          <w:rFonts w:cs="Arial"/>
          <w:sz w:val="20"/>
        </w:rPr>
        <w:t xml:space="preserve"> completed producing an unprecedented variety of protein sequences from all three major kingdoms (Archaea, Eubacteria, and Eukaryota). </w:t>
      </w:r>
      <w:r w:rsidR="00F42930" w:rsidRPr="00221DFF">
        <w:rPr>
          <w:rFonts w:cs="Arial"/>
          <w:sz w:val="20"/>
        </w:rPr>
        <w:t>C</w:t>
      </w:r>
      <w:r w:rsidR="00EA11AC" w:rsidRPr="00221DFF">
        <w:rPr>
          <w:rFonts w:cs="Arial"/>
          <w:sz w:val="20"/>
        </w:rPr>
        <w:t xml:space="preserve">omparative analysis of </w:t>
      </w:r>
      <w:r w:rsidR="00F42930" w:rsidRPr="00221DFF">
        <w:rPr>
          <w:rFonts w:cs="Arial"/>
          <w:sz w:val="20"/>
        </w:rPr>
        <w:t>homologous genes has been used in evolutionary studies and functional classification since the first sequence became available</w:t>
      </w:r>
      <w:r w:rsidR="00EB5EA0">
        <w:rPr>
          <w:rFonts w:cs="Arial"/>
          <w:sz w:val="20"/>
        </w:rPr>
        <w:t>,</w:t>
      </w:r>
      <w:r w:rsidR="00F42930" w:rsidRPr="00221DFF">
        <w:rPr>
          <w:rFonts w:cs="Arial"/>
          <w:sz w:val="20"/>
        </w:rPr>
        <w:t xml:space="preserve"> but for the first time </w:t>
      </w:r>
      <w:r w:rsidR="009308B7" w:rsidRPr="00221DFF">
        <w:rPr>
          <w:rFonts w:cs="Arial"/>
          <w:sz w:val="20"/>
        </w:rPr>
        <w:t xml:space="preserve">the whole proteome of several organisms became available </w:t>
      </w:r>
      <w:r w:rsidR="000772FE" w:rsidRPr="00221DFF">
        <w:rPr>
          <w:rFonts w:cs="Arial"/>
          <w:sz w:val="20"/>
        </w:rPr>
        <w:t>for</w:t>
      </w:r>
      <w:r w:rsidR="009308B7" w:rsidRPr="00221DFF">
        <w:rPr>
          <w:rFonts w:cs="Arial"/>
          <w:sz w:val="20"/>
        </w:rPr>
        <w:t xml:space="preserve"> comparison. New </w:t>
      </w:r>
      <w:r w:rsidR="000772FE" w:rsidRPr="00221DFF">
        <w:rPr>
          <w:rFonts w:cs="Arial"/>
          <w:sz w:val="20"/>
        </w:rPr>
        <w:t xml:space="preserve">genome-scale </w:t>
      </w:r>
      <w:r w:rsidR="009308B7" w:rsidRPr="00221DFF">
        <w:rPr>
          <w:rFonts w:cs="Arial"/>
          <w:sz w:val="20"/>
        </w:rPr>
        <w:t xml:space="preserve">methods </w:t>
      </w:r>
      <w:r w:rsidR="000772FE" w:rsidRPr="00221DFF">
        <w:rPr>
          <w:rFonts w:cs="Arial"/>
          <w:sz w:val="20"/>
        </w:rPr>
        <w:t>were needed</w:t>
      </w:r>
      <w:r w:rsidR="009308B7" w:rsidRPr="00221DFF">
        <w:rPr>
          <w:rFonts w:cs="Arial"/>
          <w:sz w:val="20"/>
        </w:rPr>
        <w:t xml:space="preserve"> </w:t>
      </w:r>
      <w:r w:rsidR="00EB5EA0">
        <w:rPr>
          <w:rFonts w:cs="Arial"/>
          <w:sz w:val="20"/>
        </w:rPr>
        <w:t>to provide an</w:t>
      </w:r>
      <w:r w:rsidR="000772FE" w:rsidRPr="00221DFF">
        <w:rPr>
          <w:rFonts w:cs="Arial"/>
          <w:sz w:val="20"/>
        </w:rPr>
        <w:t xml:space="preserve"> understanding</w:t>
      </w:r>
      <w:r w:rsidR="009308B7" w:rsidRPr="00221DFF">
        <w:rPr>
          <w:rFonts w:cs="Arial"/>
          <w:sz w:val="20"/>
        </w:rPr>
        <w:t xml:space="preserve"> </w:t>
      </w:r>
      <w:r w:rsidR="000772FE" w:rsidRPr="00221DFF">
        <w:rPr>
          <w:rFonts w:cs="Arial"/>
          <w:sz w:val="20"/>
        </w:rPr>
        <w:t xml:space="preserve">of the </w:t>
      </w:r>
      <w:r w:rsidR="009308B7" w:rsidRPr="00221DFF">
        <w:rPr>
          <w:rFonts w:cs="Arial"/>
          <w:sz w:val="20"/>
        </w:rPr>
        <w:t>true ortholog</w:t>
      </w:r>
      <w:r w:rsidR="000772FE" w:rsidRPr="00221DFF">
        <w:rPr>
          <w:rFonts w:cs="Arial"/>
          <w:sz w:val="20"/>
        </w:rPr>
        <w:t>ous</w:t>
      </w:r>
      <w:r w:rsidR="009308B7" w:rsidRPr="00221DFF">
        <w:rPr>
          <w:rFonts w:cs="Arial"/>
          <w:sz w:val="20"/>
        </w:rPr>
        <w:t xml:space="preserve"> </w:t>
      </w:r>
      <w:r w:rsidR="000772FE" w:rsidRPr="00221DFF">
        <w:rPr>
          <w:rFonts w:cs="Arial"/>
          <w:sz w:val="20"/>
        </w:rPr>
        <w:t>relation</w:t>
      </w:r>
      <w:r w:rsidR="0035432E" w:rsidRPr="00221DFF">
        <w:rPr>
          <w:rFonts w:cs="Arial"/>
          <w:sz w:val="20"/>
        </w:rPr>
        <w:t>ships</w:t>
      </w:r>
      <w:r w:rsidR="000772FE" w:rsidRPr="00221DFF">
        <w:rPr>
          <w:rFonts w:cs="Arial"/>
          <w:sz w:val="20"/>
        </w:rPr>
        <w:t xml:space="preserve"> of protein sequences</w:t>
      </w:r>
      <w:r w:rsidR="00B137D2">
        <w:rPr>
          <w:rFonts w:cs="Arial"/>
          <w:sz w:val="20"/>
        </w:rPr>
        <w:t xml:space="preserve">. </w:t>
      </w:r>
      <w:r w:rsidR="00EB5EA0">
        <w:rPr>
          <w:rFonts w:cs="Arial"/>
          <w:sz w:val="20"/>
        </w:rPr>
        <w:t>T</w:t>
      </w:r>
      <w:r w:rsidR="000772FE" w:rsidRPr="00221DFF">
        <w:rPr>
          <w:rFonts w:cs="Arial"/>
          <w:sz w:val="20"/>
        </w:rPr>
        <w:t>he protein database of Clusters of Orthologous Groups (</w:t>
      </w:r>
      <w:hyperlink r:id="rId11" w:history="1">
        <w:r w:rsidR="000772FE" w:rsidRPr="00221DFF">
          <w:rPr>
            <w:rStyle w:val="Hyperlink"/>
            <w:rFonts w:cs="Arial"/>
            <w:sz w:val="20"/>
          </w:rPr>
          <w:t>COGs</w:t>
        </w:r>
      </w:hyperlink>
      <w:r w:rsidR="000772FE" w:rsidRPr="00221DFF">
        <w:rPr>
          <w:rFonts w:cs="Arial"/>
          <w:sz w:val="20"/>
        </w:rPr>
        <w:t>)</w:t>
      </w:r>
      <w:r w:rsidR="006A23C3" w:rsidRPr="00221DFF">
        <w:rPr>
          <w:rFonts w:cs="Arial"/>
          <w:sz w:val="20"/>
        </w:rPr>
        <w:t>,</w:t>
      </w:r>
      <w:r w:rsidR="00EB5EA0">
        <w:rPr>
          <w:rFonts w:cs="Arial"/>
          <w:sz w:val="20"/>
        </w:rPr>
        <w:t xml:space="preserve"> a</w:t>
      </w:r>
      <w:r w:rsidR="00EB5EA0" w:rsidRPr="00221DFF">
        <w:rPr>
          <w:rFonts w:cs="Arial"/>
          <w:sz w:val="20"/>
        </w:rPr>
        <w:t xml:space="preserve"> pioneering work of NCBI scientists</w:t>
      </w:r>
      <w:r w:rsidR="00EB5EA0">
        <w:rPr>
          <w:rFonts w:cs="Arial"/>
          <w:sz w:val="20"/>
        </w:rPr>
        <w:t>,</w:t>
      </w:r>
      <w:r w:rsidR="006A23C3" w:rsidRPr="00221DFF">
        <w:rPr>
          <w:rFonts w:cs="Arial"/>
          <w:sz w:val="20"/>
        </w:rPr>
        <w:t xml:space="preserve"> was</w:t>
      </w:r>
      <w:r w:rsidR="000772FE" w:rsidRPr="00221DFF">
        <w:rPr>
          <w:rFonts w:cs="Arial"/>
          <w:sz w:val="20"/>
        </w:rPr>
        <w:t xml:space="preserve"> the </w:t>
      </w:r>
      <w:r w:rsidR="006A23C3" w:rsidRPr="00221DFF">
        <w:rPr>
          <w:rFonts w:cs="Arial"/>
          <w:sz w:val="20"/>
        </w:rPr>
        <w:t>first attempt</w:t>
      </w:r>
      <w:r w:rsidR="000772FE" w:rsidRPr="00221DFF">
        <w:rPr>
          <w:rFonts w:cs="Arial"/>
          <w:sz w:val="20"/>
        </w:rPr>
        <w:t xml:space="preserve"> </w:t>
      </w:r>
      <w:r w:rsidR="00EB5EA0">
        <w:rPr>
          <w:rFonts w:cs="Arial"/>
          <w:sz w:val="20"/>
        </w:rPr>
        <w:t>at creating a</w:t>
      </w:r>
      <w:r w:rsidR="00EB5EA0" w:rsidRPr="00221DFF">
        <w:rPr>
          <w:rFonts w:cs="Arial"/>
          <w:sz w:val="20"/>
        </w:rPr>
        <w:t xml:space="preserve"> </w:t>
      </w:r>
      <w:r w:rsidR="000772FE" w:rsidRPr="00221DFF">
        <w:rPr>
          <w:rFonts w:cs="Arial"/>
          <w:sz w:val="20"/>
        </w:rPr>
        <w:t>phylogenetic classification of the complete complement of proteins encoded by complete genomes</w:t>
      </w:r>
      <w:r w:rsidR="002404CD">
        <w:rPr>
          <w:rFonts w:cs="Arial"/>
          <w:sz w:val="20"/>
        </w:rPr>
        <w:t xml:space="preserve"> </w:t>
      </w:r>
      <w:r w:rsidR="00CC7B48">
        <w:rPr>
          <w:rFonts w:cs="Arial"/>
          <w:sz w:val="20"/>
        </w:rPr>
        <w:t>(</w:t>
      </w:r>
      <w:r w:rsidR="002404CD">
        <w:rPr>
          <w:rFonts w:cs="Arial"/>
          <w:sz w:val="20"/>
        </w:rPr>
        <w:t>23</w:t>
      </w:r>
      <w:r w:rsidR="00CC7B48">
        <w:rPr>
          <w:rFonts w:cs="Arial"/>
          <w:sz w:val="20"/>
        </w:rPr>
        <w:t>)</w:t>
      </w:r>
      <w:r w:rsidR="000772FE" w:rsidRPr="00221DFF">
        <w:rPr>
          <w:rFonts w:cs="Arial"/>
          <w:sz w:val="20"/>
        </w:rPr>
        <w:t>.</w:t>
      </w:r>
      <w:r w:rsidR="00312720" w:rsidRPr="00221DFF">
        <w:rPr>
          <w:rFonts w:cs="Arial"/>
          <w:sz w:val="20"/>
        </w:rPr>
        <w:t xml:space="preserve"> The COG approach is based on the simple notion that any group of at least three proteins from distant genomes that are more similar to each other than they are to any other proteins from the same genome are most likely to form an orthologous set.</w:t>
      </w:r>
      <w:r w:rsidR="00E01087" w:rsidRPr="00221DFF">
        <w:rPr>
          <w:rFonts w:cs="Arial"/>
          <w:sz w:val="20"/>
        </w:rPr>
        <w:t xml:space="preserve"> </w:t>
      </w:r>
      <w:r w:rsidR="00EB5EA0">
        <w:rPr>
          <w:rFonts w:cs="Arial"/>
          <w:sz w:val="20"/>
        </w:rPr>
        <w:t xml:space="preserve">The </w:t>
      </w:r>
      <w:r w:rsidR="00E01087" w:rsidRPr="00221DFF">
        <w:rPr>
          <w:rFonts w:cs="Arial"/>
          <w:sz w:val="20"/>
        </w:rPr>
        <w:t xml:space="preserve">COG project has proved to be an excellent approach for understanding microbial evolution and the diversity of protein functions encoded by their genomes. However, the major difficulty </w:t>
      </w:r>
      <w:r w:rsidR="00592AB3" w:rsidRPr="00221DFF">
        <w:rPr>
          <w:rFonts w:cs="Arial"/>
          <w:sz w:val="20"/>
        </w:rPr>
        <w:t xml:space="preserve">of any genomic data resource </w:t>
      </w:r>
      <w:r w:rsidR="00E01087" w:rsidRPr="00221DFF">
        <w:rPr>
          <w:rFonts w:cs="Arial"/>
          <w:sz w:val="20"/>
        </w:rPr>
        <w:t xml:space="preserve">in the </w:t>
      </w:r>
      <w:r w:rsidR="00592AB3" w:rsidRPr="00221DFF">
        <w:rPr>
          <w:rFonts w:cs="Arial"/>
          <w:sz w:val="20"/>
        </w:rPr>
        <w:t xml:space="preserve">modern </w:t>
      </w:r>
      <w:r w:rsidR="00E01087" w:rsidRPr="00221DFF">
        <w:rPr>
          <w:rFonts w:cs="Arial"/>
          <w:sz w:val="20"/>
        </w:rPr>
        <w:t>era of rapid genomic sequencing is keeping the genomic data and the annotations up-to-date.</w:t>
      </w:r>
      <w:r w:rsidR="0043115B">
        <w:rPr>
          <w:rFonts w:cs="Arial"/>
          <w:sz w:val="20"/>
        </w:rPr>
        <w:t xml:space="preserve"> </w:t>
      </w:r>
    </w:p>
    <w:p w14:paraId="6BB45206" w14:textId="1043770E" w:rsidR="00E01087" w:rsidRPr="00221DFF" w:rsidRDefault="00E01087" w:rsidP="00592AB3">
      <w:pPr>
        <w:autoSpaceDE w:val="0"/>
        <w:autoSpaceDN w:val="0"/>
        <w:adjustRightInd w:val="0"/>
        <w:rPr>
          <w:rFonts w:eastAsia="Times New Roman" w:cs="Arial"/>
          <w:sz w:val="20"/>
        </w:rPr>
      </w:pPr>
      <w:r w:rsidRPr="00221DFF">
        <w:rPr>
          <w:rFonts w:eastAsia="Times New Roman" w:cs="Arial"/>
          <w:sz w:val="20"/>
        </w:rPr>
        <w:t xml:space="preserve">The </w:t>
      </w:r>
      <w:hyperlink r:id="rId12" w:history="1">
        <w:r w:rsidR="00764D4F" w:rsidRPr="001073CA">
          <w:rPr>
            <w:rStyle w:val="Hyperlink"/>
            <w:rFonts w:eastAsia="Times New Roman" w:cs="Arial"/>
            <w:sz w:val="20"/>
          </w:rPr>
          <w:t>RefSeq</w:t>
        </w:r>
      </w:hyperlink>
      <w:r w:rsidR="00764D4F" w:rsidRPr="00221DFF">
        <w:rPr>
          <w:rFonts w:eastAsia="Times New Roman" w:cs="Arial"/>
          <w:sz w:val="20"/>
        </w:rPr>
        <w:t xml:space="preserve"> project</w:t>
      </w:r>
      <w:r w:rsidR="005A3FEF">
        <w:rPr>
          <w:rFonts w:eastAsia="Times New Roman" w:cs="Arial"/>
          <w:sz w:val="20"/>
        </w:rPr>
        <w:t>, which</w:t>
      </w:r>
      <w:r w:rsidRPr="00221DFF">
        <w:rPr>
          <w:rFonts w:eastAsia="Times New Roman" w:cs="Arial"/>
          <w:sz w:val="20"/>
        </w:rPr>
        <w:t xml:space="preserve"> contains</w:t>
      </w:r>
      <w:r w:rsidR="00592AB3" w:rsidRPr="00221DFF">
        <w:rPr>
          <w:rFonts w:eastAsia="Times New Roman" w:cs="Arial"/>
          <w:sz w:val="20"/>
        </w:rPr>
        <w:t xml:space="preserve"> n</w:t>
      </w:r>
      <w:r w:rsidRPr="00221DFF">
        <w:rPr>
          <w:rFonts w:eastAsia="Times New Roman" w:cs="Arial"/>
          <w:sz w:val="20"/>
        </w:rPr>
        <w:t>on</w:t>
      </w:r>
      <w:r w:rsidR="00592AB3" w:rsidRPr="00221DFF">
        <w:rPr>
          <w:rFonts w:eastAsia="Times New Roman" w:cs="Arial"/>
          <w:sz w:val="20"/>
        </w:rPr>
        <w:t>-</w:t>
      </w:r>
      <w:r w:rsidRPr="00221DFF">
        <w:rPr>
          <w:rFonts w:eastAsia="Times New Roman" w:cs="Arial"/>
          <w:sz w:val="20"/>
        </w:rPr>
        <w:t>redundant sets o</w:t>
      </w:r>
      <w:r w:rsidR="00592AB3" w:rsidRPr="00221DFF">
        <w:rPr>
          <w:rFonts w:eastAsia="Times New Roman" w:cs="Arial"/>
          <w:sz w:val="20"/>
        </w:rPr>
        <w:t>f curated transcript, gene</w:t>
      </w:r>
      <w:r w:rsidR="00B137D2">
        <w:rPr>
          <w:rFonts w:eastAsia="Times New Roman" w:cs="Arial"/>
          <w:sz w:val="20"/>
        </w:rPr>
        <w:t>,</w:t>
      </w:r>
      <w:r w:rsidR="00592AB3" w:rsidRPr="00221DFF">
        <w:rPr>
          <w:rFonts w:eastAsia="Times New Roman" w:cs="Arial"/>
          <w:sz w:val="20"/>
        </w:rPr>
        <w:t xml:space="preserve"> and </w:t>
      </w:r>
      <w:r w:rsidRPr="00221DFF">
        <w:rPr>
          <w:rFonts w:eastAsia="Times New Roman" w:cs="Arial"/>
          <w:sz w:val="20"/>
        </w:rPr>
        <w:t>protein information in</w:t>
      </w:r>
      <w:r w:rsidR="00592AB3" w:rsidRPr="00221DFF">
        <w:rPr>
          <w:rFonts w:eastAsia="Times New Roman" w:cs="Arial"/>
          <w:sz w:val="20"/>
        </w:rPr>
        <w:t xml:space="preserve"> eukaryot</w:t>
      </w:r>
      <w:r w:rsidR="005A3FEF">
        <w:rPr>
          <w:rFonts w:eastAsia="Times New Roman" w:cs="Arial"/>
          <w:sz w:val="20"/>
        </w:rPr>
        <w:t>es</w:t>
      </w:r>
      <w:r w:rsidR="00B137D2">
        <w:rPr>
          <w:rFonts w:eastAsia="Times New Roman" w:cs="Arial"/>
          <w:sz w:val="20"/>
        </w:rPr>
        <w:t>,</w:t>
      </w:r>
      <w:r w:rsidR="00592AB3" w:rsidRPr="00221DFF">
        <w:rPr>
          <w:rFonts w:eastAsia="Times New Roman" w:cs="Arial"/>
          <w:sz w:val="20"/>
        </w:rPr>
        <w:t xml:space="preserve"> and gene </w:t>
      </w:r>
      <w:r w:rsidRPr="00221DFF">
        <w:rPr>
          <w:rFonts w:eastAsia="Times New Roman" w:cs="Arial"/>
          <w:sz w:val="20"/>
        </w:rPr>
        <w:t xml:space="preserve">and protein information </w:t>
      </w:r>
      <w:r w:rsidR="00592AB3" w:rsidRPr="00221DFF">
        <w:rPr>
          <w:rFonts w:eastAsia="Times New Roman" w:cs="Arial"/>
          <w:sz w:val="20"/>
        </w:rPr>
        <w:t>in prokaryotes, has been a very s</w:t>
      </w:r>
      <w:r w:rsidRPr="00221DFF">
        <w:rPr>
          <w:rFonts w:eastAsia="Times New Roman" w:cs="Arial"/>
          <w:sz w:val="20"/>
        </w:rPr>
        <w:t>uccessful way to mai</w:t>
      </w:r>
      <w:r w:rsidR="00592AB3" w:rsidRPr="00221DFF">
        <w:rPr>
          <w:rFonts w:eastAsia="Times New Roman" w:cs="Arial"/>
          <w:sz w:val="20"/>
        </w:rPr>
        <w:t>ntain and update annotated data</w:t>
      </w:r>
      <w:r w:rsidRPr="00221DFF">
        <w:rPr>
          <w:rFonts w:eastAsia="Times New Roman" w:cs="Arial"/>
          <w:sz w:val="20"/>
        </w:rPr>
        <w:t xml:space="preserve">. </w:t>
      </w:r>
      <w:r w:rsidR="005A3FEF">
        <w:rPr>
          <w:rFonts w:eastAsia="Times New Roman" w:cs="Arial"/>
          <w:sz w:val="20"/>
        </w:rPr>
        <w:t>Given the increasing number of prokaryotic genomes being depos</w:t>
      </w:r>
      <w:r w:rsidR="00B137D2">
        <w:rPr>
          <w:rFonts w:eastAsia="Times New Roman" w:cs="Arial"/>
          <w:sz w:val="20"/>
        </w:rPr>
        <w:t>i</w:t>
      </w:r>
      <w:r w:rsidR="005A3FEF">
        <w:rPr>
          <w:rFonts w:eastAsia="Times New Roman" w:cs="Arial"/>
          <w:sz w:val="20"/>
        </w:rPr>
        <w:t>ted, i</w:t>
      </w:r>
      <w:r w:rsidRPr="00221DFF">
        <w:rPr>
          <w:rFonts w:eastAsia="Times New Roman" w:cs="Arial"/>
          <w:sz w:val="20"/>
        </w:rPr>
        <w:t xml:space="preserve">t </w:t>
      </w:r>
      <w:r w:rsidR="005A3FEF">
        <w:rPr>
          <w:rFonts w:eastAsia="Times New Roman" w:cs="Arial"/>
          <w:sz w:val="20"/>
        </w:rPr>
        <w:t>became apparent</w:t>
      </w:r>
      <w:r w:rsidRPr="00221DFF">
        <w:rPr>
          <w:rFonts w:eastAsia="Times New Roman" w:cs="Arial"/>
          <w:sz w:val="20"/>
        </w:rPr>
        <w:t xml:space="preserve"> that a</w:t>
      </w:r>
      <w:r w:rsidR="00592AB3" w:rsidRPr="00221DFF">
        <w:rPr>
          <w:rFonts w:eastAsia="Times New Roman" w:cs="Arial"/>
          <w:sz w:val="20"/>
        </w:rPr>
        <w:t xml:space="preserve">nnotating protein families as a </w:t>
      </w:r>
      <w:r w:rsidRPr="00221DFF">
        <w:rPr>
          <w:rFonts w:eastAsia="Times New Roman" w:cs="Arial"/>
          <w:sz w:val="20"/>
        </w:rPr>
        <w:t>group was a convenient an</w:t>
      </w:r>
      <w:r w:rsidR="00592AB3" w:rsidRPr="00221DFF">
        <w:rPr>
          <w:rFonts w:eastAsia="Times New Roman" w:cs="Arial"/>
          <w:sz w:val="20"/>
        </w:rPr>
        <w:t xml:space="preserve">d efficient way to functionally </w:t>
      </w:r>
      <w:r w:rsidRPr="00221DFF">
        <w:rPr>
          <w:rFonts w:eastAsia="Times New Roman" w:cs="Arial"/>
          <w:sz w:val="20"/>
        </w:rPr>
        <w:t>annotate the</w:t>
      </w:r>
      <w:r w:rsidR="005A3FEF">
        <w:rPr>
          <w:rFonts w:eastAsia="Times New Roman" w:cs="Arial"/>
          <w:sz w:val="20"/>
        </w:rPr>
        <w:t>se data.</w:t>
      </w:r>
      <w:r w:rsidRPr="00221DFF">
        <w:rPr>
          <w:rFonts w:eastAsia="Times New Roman" w:cs="Arial"/>
          <w:sz w:val="20"/>
        </w:rPr>
        <w:t xml:space="preserve"> </w:t>
      </w:r>
      <w:r w:rsidR="00592AB3" w:rsidRPr="00221DFF">
        <w:rPr>
          <w:rFonts w:eastAsia="Times New Roman" w:cs="Arial"/>
          <w:sz w:val="20"/>
        </w:rPr>
        <w:t xml:space="preserve">The </w:t>
      </w:r>
      <w:r w:rsidRPr="00221DFF">
        <w:rPr>
          <w:rFonts w:eastAsia="Times New Roman" w:cs="Arial"/>
          <w:sz w:val="20"/>
        </w:rPr>
        <w:t xml:space="preserve">Protein Clusters database </w:t>
      </w:r>
      <w:r w:rsidR="005A3FEF">
        <w:rPr>
          <w:rFonts w:eastAsia="Times New Roman" w:cs="Arial"/>
          <w:sz w:val="20"/>
        </w:rPr>
        <w:t>was</w:t>
      </w:r>
      <w:r w:rsidR="00592AB3" w:rsidRPr="00221DFF">
        <w:rPr>
          <w:rFonts w:eastAsia="Times New Roman" w:cs="Arial"/>
          <w:sz w:val="20"/>
        </w:rPr>
        <w:t xml:space="preserve"> constructed </w:t>
      </w:r>
      <w:r w:rsidRPr="00221DFF">
        <w:rPr>
          <w:rFonts w:eastAsia="Times New Roman" w:cs="Arial"/>
          <w:sz w:val="20"/>
        </w:rPr>
        <w:t>with two goals in mind: first,</w:t>
      </w:r>
      <w:r w:rsidR="00592AB3" w:rsidRPr="00221DFF">
        <w:rPr>
          <w:rFonts w:eastAsia="Times New Roman" w:cs="Arial"/>
          <w:sz w:val="20"/>
        </w:rPr>
        <w:t xml:space="preserve"> to routinely </w:t>
      </w:r>
      <w:r w:rsidRPr="00221DFF">
        <w:rPr>
          <w:rFonts w:eastAsia="Times New Roman" w:cs="Arial"/>
          <w:sz w:val="20"/>
        </w:rPr>
        <w:t>update RefSeq genome</w:t>
      </w:r>
      <w:r w:rsidR="00592AB3" w:rsidRPr="00221DFF">
        <w:rPr>
          <w:rFonts w:eastAsia="Times New Roman" w:cs="Arial"/>
          <w:sz w:val="20"/>
        </w:rPr>
        <w:t xml:space="preserve">s with curated gene and protein </w:t>
      </w:r>
      <w:r w:rsidRPr="00221DFF">
        <w:rPr>
          <w:rFonts w:eastAsia="Times New Roman" w:cs="Arial"/>
          <w:sz w:val="20"/>
        </w:rPr>
        <w:t xml:space="preserve">information from </w:t>
      </w:r>
      <w:r w:rsidR="005A3FEF">
        <w:rPr>
          <w:rFonts w:eastAsia="Times New Roman" w:cs="Arial"/>
          <w:sz w:val="20"/>
        </w:rPr>
        <w:t xml:space="preserve">such </w:t>
      </w:r>
      <w:r w:rsidR="00592AB3" w:rsidRPr="00221DFF">
        <w:rPr>
          <w:rFonts w:eastAsia="Times New Roman" w:cs="Arial"/>
          <w:sz w:val="20"/>
        </w:rPr>
        <w:t>clusters</w:t>
      </w:r>
      <w:r w:rsidR="005A3FEF">
        <w:rPr>
          <w:rFonts w:eastAsia="Times New Roman" w:cs="Arial"/>
          <w:sz w:val="20"/>
        </w:rPr>
        <w:t>;</w:t>
      </w:r>
      <w:r w:rsidR="00592AB3" w:rsidRPr="00221DFF">
        <w:rPr>
          <w:rFonts w:eastAsia="Times New Roman" w:cs="Arial"/>
          <w:sz w:val="20"/>
        </w:rPr>
        <w:t xml:space="preserve"> and second, to provide a </w:t>
      </w:r>
      <w:r w:rsidRPr="00221DFF">
        <w:rPr>
          <w:rFonts w:eastAsia="Times New Roman" w:cs="Arial"/>
          <w:sz w:val="20"/>
        </w:rPr>
        <w:t>central aggregation source</w:t>
      </w:r>
      <w:r w:rsidR="00592AB3" w:rsidRPr="00221DFF">
        <w:rPr>
          <w:rFonts w:eastAsia="Times New Roman" w:cs="Arial"/>
          <w:sz w:val="20"/>
        </w:rPr>
        <w:t xml:space="preserve"> for information collected from </w:t>
      </w:r>
      <w:r w:rsidRPr="00221DFF">
        <w:rPr>
          <w:rFonts w:eastAsia="Times New Roman" w:cs="Arial"/>
          <w:sz w:val="20"/>
        </w:rPr>
        <w:t>a wide variety of sources that</w:t>
      </w:r>
      <w:r w:rsidR="00592AB3" w:rsidRPr="00221DFF">
        <w:rPr>
          <w:rFonts w:eastAsia="Times New Roman" w:cs="Arial"/>
          <w:sz w:val="20"/>
        </w:rPr>
        <w:t xml:space="preserve"> would be useful for scientists </w:t>
      </w:r>
      <w:r w:rsidRPr="00221DFF">
        <w:rPr>
          <w:rFonts w:eastAsia="Times New Roman" w:cs="Arial"/>
          <w:sz w:val="20"/>
        </w:rPr>
        <w:t>studying protein-level or ge</w:t>
      </w:r>
      <w:r w:rsidR="00592AB3" w:rsidRPr="00221DFF">
        <w:rPr>
          <w:rFonts w:eastAsia="Times New Roman" w:cs="Arial"/>
          <w:sz w:val="20"/>
        </w:rPr>
        <w:t xml:space="preserve">nomic-level molecular functions. </w:t>
      </w:r>
      <w:r w:rsidRPr="00221DFF">
        <w:rPr>
          <w:rFonts w:eastAsia="Times New Roman" w:cs="Arial"/>
          <w:sz w:val="20"/>
        </w:rPr>
        <w:t xml:space="preserve">In addition, </w:t>
      </w:r>
      <w:r w:rsidR="005A3FEF">
        <w:rPr>
          <w:rFonts w:eastAsia="Times New Roman" w:cs="Arial"/>
          <w:sz w:val="20"/>
        </w:rPr>
        <w:t xml:space="preserve">curators </w:t>
      </w:r>
      <w:r w:rsidR="005A3FEF" w:rsidRPr="00221DFF">
        <w:rPr>
          <w:rFonts w:eastAsia="Times New Roman" w:cs="Arial"/>
          <w:sz w:val="20"/>
        </w:rPr>
        <w:t xml:space="preserve">routinely </w:t>
      </w:r>
      <w:r w:rsidR="005A3FEF">
        <w:rPr>
          <w:rFonts w:eastAsia="Times New Roman" w:cs="Arial"/>
          <w:sz w:val="20"/>
        </w:rPr>
        <w:t xml:space="preserve">parse the scientific literature for reports of </w:t>
      </w:r>
      <w:r w:rsidRPr="00221DFF">
        <w:rPr>
          <w:rFonts w:eastAsia="Times New Roman" w:cs="Arial"/>
          <w:sz w:val="20"/>
        </w:rPr>
        <w:t>experimentally verified funct</w:t>
      </w:r>
      <w:r w:rsidR="00592AB3" w:rsidRPr="00221DFF">
        <w:rPr>
          <w:rFonts w:eastAsia="Times New Roman" w:cs="Arial"/>
          <w:sz w:val="20"/>
        </w:rPr>
        <w:t>ions</w:t>
      </w:r>
      <w:r w:rsidR="005A3FEF">
        <w:rPr>
          <w:rFonts w:eastAsia="Times New Roman" w:cs="Arial"/>
          <w:sz w:val="20"/>
        </w:rPr>
        <w:t xml:space="preserve"> as the basis</w:t>
      </w:r>
      <w:r w:rsidR="00592AB3" w:rsidRPr="00221DFF">
        <w:rPr>
          <w:rFonts w:eastAsia="Times New Roman" w:cs="Arial"/>
          <w:sz w:val="20"/>
        </w:rPr>
        <w:t xml:space="preserve"> </w:t>
      </w:r>
      <w:r w:rsidRPr="00221DFF">
        <w:rPr>
          <w:rFonts w:eastAsia="Times New Roman" w:cs="Arial"/>
          <w:sz w:val="20"/>
        </w:rPr>
        <w:t>for exist</w:t>
      </w:r>
      <w:r w:rsidR="00592AB3" w:rsidRPr="00221DFF">
        <w:rPr>
          <w:rFonts w:eastAsia="Times New Roman" w:cs="Arial"/>
          <w:sz w:val="20"/>
        </w:rPr>
        <w:t xml:space="preserve">ing or potential connections to </w:t>
      </w:r>
      <w:r w:rsidRPr="00221DFF">
        <w:rPr>
          <w:rFonts w:eastAsia="Times New Roman" w:cs="Arial"/>
          <w:sz w:val="20"/>
        </w:rPr>
        <w:t>genes/proteins</w:t>
      </w:r>
      <w:r w:rsidR="005A3FEF">
        <w:rPr>
          <w:rFonts w:eastAsia="Times New Roman" w:cs="Arial"/>
          <w:sz w:val="20"/>
        </w:rPr>
        <w:t>,</w:t>
      </w:r>
      <w:r w:rsidRPr="00221DFF">
        <w:rPr>
          <w:rFonts w:eastAsia="Times New Roman" w:cs="Arial"/>
          <w:sz w:val="20"/>
        </w:rPr>
        <w:t xml:space="preserve"> and</w:t>
      </w:r>
      <w:r w:rsidR="005A3FEF">
        <w:rPr>
          <w:rFonts w:eastAsia="Times New Roman" w:cs="Arial"/>
          <w:sz w:val="20"/>
        </w:rPr>
        <w:t xml:space="preserve"> such connections are added as annotations on</w:t>
      </w:r>
      <w:r w:rsidRPr="00221DFF">
        <w:rPr>
          <w:rFonts w:eastAsia="Times New Roman" w:cs="Arial"/>
          <w:sz w:val="20"/>
        </w:rPr>
        <w:t xml:space="preserve"> each cluster. The </w:t>
      </w:r>
      <w:r w:rsidR="00592AB3" w:rsidRPr="00221DFF">
        <w:rPr>
          <w:rFonts w:eastAsia="Times New Roman" w:cs="Arial"/>
          <w:sz w:val="20"/>
        </w:rPr>
        <w:t>first release of NCBI Pro</w:t>
      </w:r>
      <w:r w:rsidR="00EF43B4" w:rsidRPr="00221DFF">
        <w:rPr>
          <w:rFonts w:eastAsia="Times New Roman" w:cs="Arial"/>
          <w:sz w:val="20"/>
        </w:rPr>
        <w:t>tein Clusters in 2007 contained ~</w:t>
      </w:r>
      <w:r w:rsidR="00592AB3" w:rsidRPr="00221DFF">
        <w:rPr>
          <w:rFonts w:eastAsia="Times New Roman" w:cs="Arial"/>
          <w:sz w:val="20"/>
        </w:rPr>
        <w:t xml:space="preserve">1 million proteins </w:t>
      </w:r>
      <w:r w:rsidR="002B58A2" w:rsidRPr="00221DFF">
        <w:rPr>
          <w:rFonts w:eastAsia="Times New Roman" w:cs="Arial"/>
          <w:sz w:val="20"/>
        </w:rPr>
        <w:t>encoded by</w:t>
      </w:r>
      <w:r w:rsidR="00592AB3" w:rsidRPr="00221DFF">
        <w:rPr>
          <w:rFonts w:eastAsia="Times New Roman" w:cs="Arial"/>
          <w:sz w:val="20"/>
        </w:rPr>
        <w:t xml:space="preserve"> complete chromosomes and plasmids from three major groups: prokaryotes, bacteriophages</w:t>
      </w:r>
      <w:r w:rsidR="00B137D2">
        <w:rPr>
          <w:rFonts w:eastAsia="Times New Roman" w:cs="Arial"/>
          <w:sz w:val="20"/>
        </w:rPr>
        <w:t>,</w:t>
      </w:r>
      <w:r w:rsidR="00592AB3" w:rsidRPr="00221DFF">
        <w:rPr>
          <w:rFonts w:eastAsia="Times New Roman" w:cs="Arial"/>
          <w:sz w:val="20"/>
        </w:rPr>
        <w:t xml:space="preserve"> and the organelles</w:t>
      </w:r>
      <w:r w:rsidR="00B37E38">
        <w:rPr>
          <w:rFonts w:eastAsia="Times New Roman" w:cs="Arial"/>
          <w:sz w:val="20"/>
        </w:rPr>
        <w:t xml:space="preserve"> </w:t>
      </w:r>
      <w:r w:rsidR="00CC7B48">
        <w:rPr>
          <w:rFonts w:eastAsia="Times New Roman" w:cs="Arial"/>
          <w:sz w:val="20"/>
        </w:rPr>
        <w:t>(</w:t>
      </w:r>
      <w:r w:rsidR="00B37E38">
        <w:rPr>
          <w:rFonts w:eastAsia="Times New Roman" w:cs="Arial"/>
          <w:sz w:val="20"/>
        </w:rPr>
        <w:t>15</w:t>
      </w:r>
      <w:r w:rsidR="00CC7B48">
        <w:rPr>
          <w:rFonts w:eastAsia="Times New Roman" w:cs="Arial"/>
          <w:sz w:val="20"/>
        </w:rPr>
        <w:t>)</w:t>
      </w:r>
      <w:r w:rsidR="00592AB3" w:rsidRPr="00221DFF">
        <w:rPr>
          <w:rFonts w:eastAsia="Times New Roman" w:cs="Arial"/>
          <w:sz w:val="20"/>
        </w:rPr>
        <w:t>. Since then the scope has been expanded to other taxonomic groups</w:t>
      </w:r>
      <w:r w:rsidR="002B58A2" w:rsidRPr="00221DFF">
        <w:rPr>
          <w:rFonts w:eastAsia="Times New Roman" w:cs="Arial"/>
          <w:sz w:val="20"/>
        </w:rPr>
        <w:t xml:space="preserve"> and proteins from draft genomes.</w:t>
      </w:r>
    </w:p>
    <w:p w14:paraId="7FBBA943" w14:textId="77777777" w:rsidR="002B58A2" w:rsidRPr="00221DFF" w:rsidRDefault="002B58A2" w:rsidP="00592AB3">
      <w:pPr>
        <w:autoSpaceDE w:val="0"/>
        <w:autoSpaceDN w:val="0"/>
        <w:adjustRightInd w:val="0"/>
        <w:rPr>
          <w:rFonts w:eastAsia="Times New Roman" w:cs="Arial"/>
          <w:sz w:val="20"/>
        </w:rPr>
      </w:pPr>
      <w:r w:rsidRPr="00221DFF">
        <w:rPr>
          <w:rFonts w:eastAsia="Times New Roman" w:cs="Arial"/>
          <w:sz w:val="20"/>
        </w:rPr>
        <w:t>As of April 2013 the dataset represent</w:t>
      </w:r>
      <w:r w:rsidR="00EF43B4" w:rsidRPr="00221DFF">
        <w:rPr>
          <w:rFonts w:eastAsia="Times New Roman" w:cs="Arial"/>
          <w:sz w:val="20"/>
        </w:rPr>
        <w:t>s</w:t>
      </w:r>
      <w:r w:rsidRPr="00221DFF">
        <w:rPr>
          <w:rFonts w:eastAsia="Times New Roman" w:cs="Arial"/>
          <w:sz w:val="20"/>
        </w:rPr>
        <w:t xml:space="preserve"> more than 20 million proteins.</w:t>
      </w:r>
    </w:p>
    <w:p w14:paraId="5D595D8F" w14:textId="77777777" w:rsidR="00E01087" w:rsidRPr="00221DFF" w:rsidRDefault="00E01087" w:rsidP="00E01087">
      <w:pPr>
        <w:autoSpaceDE w:val="0"/>
        <w:autoSpaceDN w:val="0"/>
        <w:adjustRightInd w:val="0"/>
        <w:rPr>
          <w:rFonts w:eastAsia="Times New Roman" w:cs="Arial"/>
          <w:sz w:val="20"/>
        </w:rPr>
      </w:pPr>
    </w:p>
    <w:p w14:paraId="48671848" w14:textId="77777777" w:rsidR="00700D74" w:rsidRPr="00700D74" w:rsidRDefault="00700D74" w:rsidP="00700D74">
      <w:pPr>
        <w:pStyle w:val="Heading2"/>
        <w:rPr>
          <w:color w:val="7F7F7F" w:themeColor="text1" w:themeTint="80"/>
          <w:sz w:val="24"/>
          <w:szCs w:val="24"/>
        </w:rPr>
      </w:pPr>
      <w:r w:rsidRPr="00700D74">
        <w:rPr>
          <w:rFonts w:cs="Arial"/>
          <w:color w:val="7F7F7F" w:themeColor="text1" w:themeTint="80"/>
          <w:sz w:val="24"/>
          <w:szCs w:val="24"/>
        </w:rPr>
        <w:t>Data Model</w:t>
      </w:r>
    </w:p>
    <w:p w14:paraId="361B5A1F" w14:textId="77777777" w:rsidR="0010175E" w:rsidRDefault="0041475F" w:rsidP="001A1FFD">
      <w:pPr>
        <w:rPr>
          <w:rFonts w:eastAsia="Times New Roman" w:cs="Arial"/>
          <w:sz w:val="20"/>
        </w:rPr>
      </w:pPr>
      <w:r w:rsidRPr="00221DFF">
        <w:rPr>
          <w:rFonts w:cs="Arial"/>
          <w:sz w:val="20"/>
        </w:rPr>
        <w:t xml:space="preserve">Clustering is a well-known method in statistics and computer science. </w:t>
      </w:r>
      <w:r w:rsidR="002A04DC" w:rsidRPr="00221DFF">
        <w:rPr>
          <w:rFonts w:cs="Arial"/>
          <w:sz w:val="20"/>
        </w:rPr>
        <w:t xml:space="preserve">For a given </w:t>
      </w:r>
      <w:r w:rsidRPr="00221DFF">
        <w:rPr>
          <w:rFonts w:cs="Arial"/>
          <w:sz w:val="20"/>
        </w:rPr>
        <w:t xml:space="preserve">set of </w:t>
      </w:r>
      <w:r w:rsidR="002A04DC" w:rsidRPr="00221DFF">
        <w:rPr>
          <w:rFonts w:cs="Arial"/>
          <w:sz w:val="20"/>
        </w:rPr>
        <w:t>entities</w:t>
      </w:r>
      <w:r w:rsidR="00C07AA3" w:rsidRPr="00221DFF">
        <w:rPr>
          <w:rFonts w:cs="Arial"/>
          <w:sz w:val="20"/>
        </w:rPr>
        <w:t>,</w:t>
      </w:r>
      <w:r w:rsidR="002A04DC" w:rsidRPr="00221DFF">
        <w:rPr>
          <w:rFonts w:cs="Arial"/>
          <w:sz w:val="20"/>
        </w:rPr>
        <w:t xml:space="preserve"> clusters are defined as subsets that are homogeneous and well separated. The cluster analysis should start from a definition of homogeneity and separation. Most clustering methods rely upon similarities (</w:t>
      </w:r>
      <w:r w:rsidR="005262EA" w:rsidRPr="00221DFF">
        <w:rPr>
          <w:rFonts w:cs="Arial"/>
          <w:sz w:val="20"/>
        </w:rPr>
        <w:t>or distance</w:t>
      </w:r>
      <w:r w:rsidR="002A04DC" w:rsidRPr="00221DFF">
        <w:rPr>
          <w:rFonts w:cs="Arial"/>
          <w:sz w:val="20"/>
        </w:rPr>
        <w:t>) between entities</w:t>
      </w:r>
      <w:r w:rsidR="00507A45" w:rsidRPr="00221DFF">
        <w:rPr>
          <w:rFonts w:cs="Arial"/>
          <w:sz w:val="20"/>
        </w:rPr>
        <w:t xml:space="preserve">. </w:t>
      </w:r>
      <w:r w:rsidR="009B142C" w:rsidRPr="00221DFF">
        <w:rPr>
          <w:rFonts w:cs="Arial"/>
          <w:sz w:val="20"/>
        </w:rPr>
        <w:t xml:space="preserve">Protein clusters </w:t>
      </w:r>
      <w:r w:rsidR="00A33E62">
        <w:rPr>
          <w:rFonts w:cs="Arial"/>
          <w:sz w:val="20"/>
        </w:rPr>
        <w:t>are aimed to be</w:t>
      </w:r>
      <w:r w:rsidR="009B142C" w:rsidRPr="00221DFF">
        <w:rPr>
          <w:rFonts w:cs="Arial"/>
          <w:sz w:val="20"/>
        </w:rPr>
        <w:t xml:space="preserve"> </w:t>
      </w:r>
      <w:r w:rsidR="007F7987" w:rsidRPr="00221DFF">
        <w:rPr>
          <w:rFonts w:cs="Arial"/>
          <w:sz w:val="20"/>
        </w:rPr>
        <w:t xml:space="preserve">groups of </w:t>
      </w:r>
      <w:r w:rsidR="009B142C" w:rsidRPr="00221DFF">
        <w:rPr>
          <w:rFonts w:cs="Arial"/>
          <w:sz w:val="20"/>
        </w:rPr>
        <w:t>homologous</w:t>
      </w:r>
      <w:r w:rsidR="007F7987" w:rsidRPr="00221DFF">
        <w:rPr>
          <w:rFonts w:cs="Arial"/>
          <w:sz w:val="20"/>
        </w:rPr>
        <w:t xml:space="preserve"> proteins</w:t>
      </w:r>
      <w:r w:rsidR="009B142C" w:rsidRPr="00221DFF">
        <w:rPr>
          <w:rFonts w:cs="Arial"/>
          <w:sz w:val="20"/>
        </w:rPr>
        <w:t xml:space="preserve">. The </w:t>
      </w:r>
      <w:r w:rsidR="000F7A16" w:rsidRPr="00221DFF">
        <w:rPr>
          <w:rFonts w:cs="Arial"/>
          <w:sz w:val="20"/>
        </w:rPr>
        <w:t>similarity</w:t>
      </w:r>
      <w:r w:rsidR="009B142C" w:rsidRPr="00221DFF">
        <w:rPr>
          <w:rFonts w:cs="Arial"/>
          <w:sz w:val="20"/>
        </w:rPr>
        <w:t xml:space="preserve"> between </w:t>
      </w:r>
      <w:r w:rsidR="000F7A16" w:rsidRPr="00221DFF">
        <w:rPr>
          <w:rFonts w:cs="Arial"/>
          <w:sz w:val="20"/>
        </w:rPr>
        <w:t xml:space="preserve">two </w:t>
      </w:r>
      <w:r w:rsidR="009B142C" w:rsidRPr="00221DFF">
        <w:rPr>
          <w:rFonts w:cs="Arial"/>
          <w:sz w:val="20"/>
        </w:rPr>
        <w:t>protein</w:t>
      </w:r>
      <w:r w:rsidR="000F7A16" w:rsidRPr="00221DFF">
        <w:rPr>
          <w:rFonts w:cs="Arial"/>
          <w:sz w:val="20"/>
        </w:rPr>
        <w:t xml:space="preserve"> sequences is measured by maximum alignment between </w:t>
      </w:r>
      <w:r w:rsidR="00507A45" w:rsidRPr="00221DFF">
        <w:rPr>
          <w:rFonts w:cs="Arial"/>
          <w:sz w:val="20"/>
        </w:rPr>
        <w:t xml:space="preserve">the sequences </w:t>
      </w:r>
      <w:r w:rsidR="000F7A16" w:rsidRPr="00221DFF">
        <w:rPr>
          <w:rFonts w:cs="Arial"/>
          <w:sz w:val="20"/>
        </w:rPr>
        <w:t>calculated by BLAST.</w:t>
      </w:r>
      <w:r w:rsidR="001A1FFD" w:rsidRPr="00221DFF">
        <w:rPr>
          <w:rFonts w:cs="Arial"/>
          <w:sz w:val="20"/>
        </w:rPr>
        <w:t xml:space="preserve"> There are multiple ways of defining various types of clusters that are based on </w:t>
      </w:r>
      <w:r w:rsidR="001A1FFD" w:rsidRPr="00221DFF">
        <w:rPr>
          <w:rFonts w:eastAsia="Times New Roman" w:cs="Arial"/>
          <w:sz w:val="20"/>
        </w:rPr>
        <w:t xml:space="preserve">criteria used to express separation or homogeneity </w:t>
      </w:r>
      <w:r w:rsidR="008B7140">
        <w:rPr>
          <w:rFonts w:eastAsia="Times New Roman" w:cs="Arial"/>
          <w:sz w:val="20"/>
        </w:rPr>
        <w:t>of</w:t>
      </w:r>
      <w:r w:rsidR="001A1FFD" w:rsidRPr="00221DFF">
        <w:rPr>
          <w:rFonts w:eastAsia="Times New Roman" w:cs="Arial"/>
          <w:sz w:val="20"/>
        </w:rPr>
        <w:t xml:space="preserve"> </w:t>
      </w:r>
      <w:r w:rsidR="008B7140">
        <w:rPr>
          <w:rFonts w:eastAsia="Times New Roman" w:cs="Arial"/>
          <w:sz w:val="20"/>
        </w:rPr>
        <w:t xml:space="preserve">a </w:t>
      </w:r>
      <w:r w:rsidR="001A1FFD" w:rsidRPr="00221DFF">
        <w:rPr>
          <w:rFonts w:eastAsia="Times New Roman" w:cs="Arial"/>
          <w:sz w:val="20"/>
        </w:rPr>
        <w:t>cluster</w:t>
      </w:r>
      <w:r w:rsidR="008B7140">
        <w:rPr>
          <w:rFonts w:eastAsia="Times New Roman" w:cs="Arial"/>
          <w:sz w:val="20"/>
        </w:rPr>
        <w:t xml:space="preserve"> and separation from other clusters</w:t>
      </w:r>
      <w:r w:rsidR="00B5790C" w:rsidRPr="00221DFF">
        <w:rPr>
          <w:rFonts w:eastAsia="Times New Roman" w:cs="Arial"/>
          <w:sz w:val="20"/>
        </w:rPr>
        <w:t>. NCBI Protein Clusters use</w:t>
      </w:r>
      <w:r w:rsidR="00C07AA3" w:rsidRPr="00221DFF">
        <w:rPr>
          <w:rFonts w:eastAsia="Times New Roman" w:cs="Arial"/>
          <w:sz w:val="20"/>
        </w:rPr>
        <w:t>s</w:t>
      </w:r>
      <w:r w:rsidR="00763D82">
        <w:rPr>
          <w:rFonts w:eastAsia="Times New Roman" w:cs="Arial"/>
          <w:sz w:val="20"/>
        </w:rPr>
        <w:t xml:space="preserve"> two methods for</w:t>
      </w:r>
      <w:r w:rsidR="00B5790C" w:rsidRPr="00221DFF">
        <w:rPr>
          <w:rFonts w:eastAsia="Times New Roman" w:cs="Arial"/>
          <w:sz w:val="20"/>
        </w:rPr>
        <w:t xml:space="preserve"> clustering</w:t>
      </w:r>
      <w:r w:rsidR="0010175E">
        <w:rPr>
          <w:rFonts w:eastAsia="Times New Roman" w:cs="Arial"/>
          <w:sz w:val="20"/>
        </w:rPr>
        <w:t>, both resulting in buildi</w:t>
      </w:r>
      <w:r w:rsidR="00D610B4">
        <w:rPr>
          <w:rFonts w:eastAsia="Times New Roman" w:cs="Arial"/>
          <w:sz w:val="20"/>
        </w:rPr>
        <w:t>ng cliques, one based on</w:t>
      </w:r>
      <w:r w:rsidR="0010175E">
        <w:rPr>
          <w:rFonts w:eastAsia="Times New Roman" w:cs="Arial"/>
          <w:sz w:val="20"/>
        </w:rPr>
        <w:t xml:space="preserve"> partitioning</w:t>
      </w:r>
      <w:r w:rsidR="00B5790C" w:rsidRPr="00221DFF">
        <w:rPr>
          <w:rFonts w:eastAsia="Times New Roman" w:cs="Arial"/>
          <w:sz w:val="20"/>
        </w:rPr>
        <w:t xml:space="preserve"> and</w:t>
      </w:r>
      <w:r w:rsidR="00D610B4">
        <w:rPr>
          <w:rFonts w:eastAsia="Times New Roman" w:cs="Arial"/>
          <w:sz w:val="20"/>
        </w:rPr>
        <w:t xml:space="preserve"> the other based on</w:t>
      </w:r>
      <w:r w:rsidR="00B5790C" w:rsidRPr="00221DFF">
        <w:rPr>
          <w:rFonts w:eastAsia="Times New Roman" w:cs="Arial"/>
          <w:sz w:val="20"/>
        </w:rPr>
        <w:t xml:space="preserve"> hierarchical</w:t>
      </w:r>
      <w:r w:rsidR="0010175E">
        <w:rPr>
          <w:rFonts w:eastAsia="Times New Roman" w:cs="Arial"/>
          <w:sz w:val="20"/>
        </w:rPr>
        <w:t xml:space="preserve"> aggregation</w:t>
      </w:r>
      <w:r w:rsidR="00B13866" w:rsidRPr="00221DFF">
        <w:rPr>
          <w:rFonts w:eastAsia="Times New Roman" w:cs="Arial"/>
          <w:sz w:val="20"/>
        </w:rPr>
        <w:t>.</w:t>
      </w:r>
      <w:r w:rsidR="0086798C">
        <w:rPr>
          <w:rFonts w:eastAsia="Times New Roman" w:cs="Arial"/>
          <w:sz w:val="20"/>
        </w:rPr>
        <w:t xml:space="preserve"> </w:t>
      </w:r>
    </w:p>
    <w:p w14:paraId="525D3A8A" w14:textId="77777777" w:rsidR="00996A97" w:rsidRDefault="00996A97" w:rsidP="001A1FFD">
      <w:pPr>
        <w:rPr>
          <w:rFonts w:eastAsia="Times New Roman" w:cs="Arial"/>
          <w:sz w:val="20"/>
        </w:rPr>
      </w:pPr>
    </w:p>
    <w:p w14:paraId="5D9BB3D2" w14:textId="1D2D8020" w:rsidR="003A63EB" w:rsidRDefault="00F15C17" w:rsidP="001A1FFD">
      <w:pPr>
        <w:rPr>
          <w:rFonts w:eastAsia="Times New Roman" w:cs="Arial"/>
          <w:sz w:val="20"/>
        </w:rPr>
      </w:pPr>
      <w:r w:rsidRPr="00F15C17">
        <w:rPr>
          <w:rFonts w:eastAsia="Times New Roman" w:cs="Arial"/>
          <w:sz w:val="20"/>
        </w:rPr>
        <w:t>Once clustered, each protein cluster is assigned a cluster ID and accession (letter pref</w:t>
      </w:r>
      <w:r w:rsidR="00E51C51">
        <w:rPr>
          <w:rFonts w:eastAsia="Times New Roman" w:cs="Arial"/>
          <w:sz w:val="20"/>
        </w:rPr>
        <w:t xml:space="preserve">ix followed by digits) </w:t>
      </w:r>
      <w:r w:rsidR="000D1DD0">
        <w:rPr>
          <w:rFonts w:eastAsia="Times New Roman" w:cs="Arial"/>
          <w:sz w:val="20"/>
        </w:rPr>
        <w:t xml:space="preserve">that </w:t>
      </w:r>
      <w:r w:rsidR="00E51C51">
        <w:rPr>
          <w:rFonts w:eastAsia="Times New Roman" w:cs="Arial"/>
          <w:sz w:val="20"/>
        </w:rPr>
        <w:t>is</w:t>
      </w:r>
      <w:r w:rsidRPr="00F15C17">
        <w:rPr>
          <w:rFonts w:eastAsia="Times New Roman" w:cs="Arial"/>
          <w:sz w:val="20"/>
        </w:rPr>
        <w:t xml:space="preserve"> stable from version to version as long as</w:t>
      </w:r>
      <w:r w:rsidR="00B137D2">
        <w:rPr>
          <w:rFonts w:eastAsia="Times New Roman" w:cs="Arial"/>
          <w:sz w:val="20"/>
        </w:rPr>
        <w:t xml:space="preserve"> the</w:t>
      </w:r>
      <w:r w:rsidRPr="00F15C17">
        <w:rPr>
          <w:rFonts w:eastAsia="Times New Roman" w:cs="Arial"/>
          <w:sz w:val="20"/>
        </w:rPr>
        <w:t xml:space="preserve"> majority of its proteins don’t change. A protein cluster also includes certain attributes aggregated from proteins: </w:t>
      </w:r>
      <w:r w:rsidR="00B137D2">
        <w:rPr>
          <w:rFonts w:eastAsia="Times New Roman" w:cs="Arial"/>
          <w:sz w:val="20"/>
        </w:rPr>
        <w:t>“</w:t>
      </w:r>
      <w:r w:rsidRPr="00F15C17">
        <w:rPr>
          <w:rFonts w:eastAsia="Times New Roman" w:cs="Arial"/>
          <w:sz w:val="20"/>
        </w:rPr>
        <w:t>Gene names</w:t>
      </w:r>
      <w:r w:rsidR="00B137D2">
        <w:rPr>
          <w:rFonts w:eastAsia="Times New Roman" w:cs="Arial"/>
          <w:sz w:val="20"/>
        </w:rPr>
        <w:t>”</w:t>
      </w:r>
      <w:r w:rsidRPr="00F15C17">
        <w:rPr>
          <w:rFonts w:eastAsia="Times New Roman" w:cs="Arial"/>
          <w:sz w:val="20"/>
        </w:rPr>
        <w:t xml:space="preserve"> (locus), </w:t>
      </w:r>
      <w:r w:rsidR="00B137D2">
        <w:rPr>
          <w:rFonts w:eastAsia="Times New Roman" w:cs="Arial"/>
          <w:sz w:val="20"/>
        </w:rPr>
        <w:t>“</w:t>
      </w:r>
      <w:r w:rsidRPr="00F15C17">
        <w:rPr>
          <w:rFonts w:eastAsia="Times New Roman" w:cs="Arial"/>
          <w:sz w:val="20"/>
        </w:rPr>
        <w:t>COG functional categories,</w:t>
      </w:r>
      <w:r w:rsidR="00B137D2">
        <w:rPr>
          <w:rFonts w:eastAsia="Times New Roman" w:cs="Arial"/>
          <w:sz w:val="20"/>
        </w:rPr>
        <w:t>”</w:t>
      </w:r>
      <w:r w:rsidRPr="00F15C17">
        <w:rPr>
          <w:rFonts w:eastAsia="Times New Roman" w:cs="Arial"/>
          <w:sz w:val="20"/>
        </w:rPr>
        <w:t xml:space="preserve"> </w:t>
      </w:r>
      <w:r w:rsidR="00B137D2">
        <w:rPr>
          <w:rFonts w:eastAsia="Times New Roman" w:cs="Arial"/>
          <w:sz w:val="20"/>
        </w:rPr>
        <w:t>“</w:t>
      </w:r>
      <w:r w:rsidRPr="00F15C17">
        <w:rPr>
          <w:rFonts w:eastAsia="Times New Roman" w:cs="Arial"/>
          <w:sz w:val="20"/>
        </w:rPr>
        <w:t>EC numbers,</w:t>
      </w:r>
      <w:r w:rsidR="00B137D2">
        <w:rPr>
          <w:rFonts w:eastAsia="Times New Roman" w:cs="Arial"/>
          <w:sz w:val="20"/>
        </w:rPr>
        <w:t>”</w:t>
      </w:r>
      <w:r w:rsidRPr="00F15C17">
        <w:rPr>
          <w:rFonts w:eastAsia="Times New Roman" w:cs="Arial"/>
          <w:sz w:val="20"/>
        </w:rPr>
        <w:t xml:space="preserve"> and </w:t>
      </w:r>
      <w:r w:rsidR="00B137D2">
        <w:rPr>
          <w:rFonts w:eastAsia="Times New Roman" w:cs="Arial"/>
          <w:sz w:val="20"/>
        </w:rPr>
        <w:t>“</w:t>
      </w:r>
      <w:r w:rsidRPr="00F15C17">
        <w:rPr>
          <w:rFonts w:eastAsia="Times New Roman" w:cs="Arial"/>
          <w:sz w:val="20"/>
        </w:rPr>
        <w:t>Conserved Domains.</w:t>
      </w:r>
      <w:r w:rsidR="00B137D2">
        <w:rPr>
          <w:rFonts w:eastAsia="Times New Roman" w:cs="Arial"/>
          <w:sz w:val="20"/>
        </w:rPr>
        <w:t>”</w:t>
      </w:r>
      <w:r w:rsidRPr="00F15C17">
        <w:rPr>
          <w:rFonts w:eastAsia="Times New Roman" w:cs="Arial"/>
          <w:sz w:val="20"/>
        </w:rPr>
        <w:t xml:space="preserve"> An attribute </w:t>
      </w:r>
      <w:r w:rsidR="00B137D2">
        <w:rPr>
          <w:rFonts w:eastAsia="Times New Roman" w:cs="Arial"/>
          <w:sz w:val="20"/>
        </w:rPr>
        <w:t>“</w:t>
      </w:r>
      <w:r w:rsidRPr="00F15C17">
        <w:rPr>
          <w:rFonts w:eastAsia="Times New Roman" w:cs="Arial"/>
          <w:sz w:val="20"/>
        </w:rPr>
        <w:t>Conserved in</w:t>
      </w:r>
      <w:r w:rsidR="00B137D2">
        <w:rPr>
          <w:rFonts w:eastAsia="Times New Roman" w:cs="Arial"/>
          <w:sz w:val="20"/>
        </w:rPr>
        <w:t>”</w:t>
      </w:r>
      <w:r w:rsidRPr="00F15C17">
        <w:rPr>
          <w:rFonts w:eastAsia="Times New Roman" w:cs="Arial"/>
          <w:sz w:val="20"/>
        </w:rPr>
        <w:t xml:space="preserve"> defines the common taxonomical name of genomes included in the cluster.  The Protein Clusters database also includes a set of </w:t>
      </w:r>
      <w:r w:rsidR="00B137D2">
        <w:rPr>
          <w:rFonts w:eastAsia="Times New Roman" w:cs="Arial"/>
          <w:sz w:val="20"/>
        </w:rPr>
        <w:t>“</w:t>
      </w:r>
      <w:r w:rsidRPr="00F15C17">
        <w:rPr>
          <w:rFonts w:eastAsia="Times New Roman" w:cs="Arial"/>
          <w:sz w:val="20"/>
        </w:rPr>
        <w:t>Related Clusters</w:t>
      </w:r>
      <w:r w:rsidR="00B137D2">
        <w:rPr>
          <w:rFonts w:eastAsia="Times New Roman" w:cs="Arial"/>
          <w:sz w:val="20"/>
        </w:rPr>
        <w:t>”</w:t>
      </w:r>
      <w:r w:rsidR="00FC0B87">
        <w:rPr>
          <w:rFonts w:eastAsia="Times New Roman" w:cs="Arial"/>
          <w:sz w:val="20"/>
        </w:rPr>
        <w:t>.</w:t>
      </w:r>
      <w:r w:rsidRPr="00F15C17">
        <w:rPr>
          <w:rFonts w:eastAsia="Times New Roman" w:cs="Arial"/>
          <w:sz w:val="20"/>
        </w:rPr>
        <w:t xml:space="preserve">  Besides these attributes, each protein record in the database has </w:t>
      </w:r>
      <w:r w:rsidR="00B137D2">
        <w:rPr>
          <w:rFonts w:eastAsia="Times New Roman" w:cs="Arial"/>
          <w:sz w:val="20"/>
        </w:rPr>
        <w:t>“</w:t>
      </w:r>
      <w:r w:rsidRPr="00F15C17">
        <w:rPr>
          <w:rFonts w:eastAsia="Times New Roman" w:cs="Arial"/>
          <w:sz w:val="20"/>
        </w:rPr>
        <w:t>Organism name,</w:t>
      </w:r>
      <w:r w:rsidR="00B137D2">
        <w:rPr>
          <w:rFonts w:eastAsia="Times New Roman" w:cs="Arial"/>
          <w:sz w:val="20"/>
        </w:rPr>
        <w:t>”</w:t>
      </w:r>
      <w:r w:rsidRPr="00F15C17">
        <w:rPr>
          <w:rFonts w:eastAsia="Times New Roman" w:cs="Arial"/>
          <w:sz w:val="20"/>
        </w:rPr>
        <w:t xml:space="preserve"> </w:t>
      </w:r>
      <w:r w:rsidR="00B137D2">
        <w:rPr>
          <w:rFonts w:eastAsia="Times New Roman" w:cs="Arial"/>
          <w:sz w:val="20"/>
        </w:rPr>
        <w:t>“</w:t>
      </w:r>
      <w:r w:rsidRPr="00F15C17">
        <w:rPr>
          <w:rFonts w:eastAsia="Times New Roman" w:cs="Arial"/>
          <w:sz w:val="20"/>
        </w:rPr>
        <w:t>Protein name,</w:t>
      </w:r>
      <w:r w:rsidR="00B137D2">
        <w:rPr>
          <w:rFonts w:eastAsia="Times New Roman" w:cs="Arial"/>
          <w:sz w:val="20"/>
        </w:rPr>
        <w:t>”</w:t>
      </w:r>
      <w:r w:rsidRPr="00F15C17">
        <w:rPr>
          <w:rFonts w:eastAsia="Times New Roman" w:cs="Arial"/>
          <w:sz w:val="20"/>
        </w:rPr>
        <w:t xml:space="preserve"> </w:t>
      </w:r>
      <w:r w:rsidR="00B137D2">
        <w:rPr>
          <w:rFonts w:eastAsia="Times New Roman" w:cs="Arial"/>
          <w:sz w:val="20"/>
        </w:rPr>
        <w:t>“</w:t>
      </w:r>
      <w:r w:rsidRPr="00F15C17">
        <w:rPr>
          <w:rFonts w:eastAsia="Times New Roman" w:cs="Arial"/>
          <w:sz w:val="20"/>
        </w:rPr>
        <w:t>Protein accession,</w:t>
      </w:r>
      <w:r w:rsidR="00B137D2">
        <w:rPr>
          <w:rFonts w:eastAsia="Times New Roman" w:cs="Arial"/>
          <w:sz w:val="20"/>
        </w:rPr>
        <w:t>”</w:t>
      </w:r>
      <w:r w:rsidRPr="00F15C17">
        <w:rPr>
          <w:rFonts w:eastAsia="Times New Roman" w:cs="Arial"/>
          <w:sz w:val="20"/>
        </w:rPr>
        <w:t xml:space="preserve"> </w:t>
      </w:r>
      <w:r w:rsidR="00B137D2">
        <w:rPr>
          <w:rFonts w:eastAsia="Times New Roman" w:cs="Arial"/>
          <w:sz w:val="20"/>
        </w:rPr>
        <w:t>“</w:t>
      </w:r>
      <w:r w:rsidRPr="00F15C17">
        <w:rPr>
          <w:rFonts w:eastAsia="Times New Roman" w:cs="Arial"/>
          <w:sz w:val="20"/>
        </w:rPr>
        <w:t>Locus tag,</w:t>
      </w:r>
      <w:r w:rsidR="00B137D2">
        <w:rPr>
          <w:rFonts w:eastAsia="Times New Roman" w:cs="Arial"/>
          <w:sz w:val="20"/>
        </w:rPr>
        <w:t>”</w:t>
      </w:r>
      <w:r w:rsidRPr="00F15C17">
        <w:rPr>
          <w:rFonts w:eastAsia="Times New Roman" w:cs="Arial"/>
          <w:sz w:val="20"/>
        </w:rPr>
        <w:t xml:space="preserve"> </w:t>
      </w:r>
      <w:r w:rsidR="00B137D2">
        <w:rPr>
          <w:rFonts w:eastAsia="Times New Roman" w:cs="Arial"/>
          <w:sz w:val="20"/>
        </w:rPr>
        <w:t>“</w:t>
      </w:r>
      <w:r w:rsidRPr="00F15C17">
        <w:rPr>
          <w:rFonts w:eastAsia="Times New Roman" w:cs="Arial"/>
          <w:sz w:val="20"/>
        </w:rPr>
        <w:t>Length,</w:t>
      </w:r>
      <w:r w:rsidR="00B137D2">
        <w:rPr>
          <w:rFonts w:eastAsia="Times New Roman" w:cs="Arial"/>
          <w:sz w:val="20"/>
        </w:rPr>
        <w:t>”</w:t>
      </w:r>
      <w:r w:rsidRPr="00F15C17">
        <w:rPr>
          <w:rFonts w:eastAsia="Times New Roman" w:cs="Arial"/>
          <w:sz w:val="20"/>
        </w:rPr>
        <w:t xml:space="preserve"> and UniProtKB / SwissProt accession. These at</w:t>
      </w:r>
      <w:r>
        <w:rPr>
          <w:rFonts w:eastAsia="Times New Roman" w:cs="Arial"/>
          <w:sz w:val="20"/>
        </w:rPr>
        <w:t xml:space="preserve">tributes are easily searchable </w:t>
      </w:r>
      <w:r w:rsidRPr="00F15C17">
        <w:rPr>
          <w:rFonts w:eastAsia="Times New Roman" w:cs="Arial"/>
          <w:sz w:val="20"/>
        </w:rPr>
        <w:t xml:space="preserve">within a cluster </w:t>
      </w:r>
      <w:r>
        <w:rPr>
          <w:rFonts w:eastAsia="Times New Roman" w:cs="Arial"/>
          <w:sz w:val="20"/>
        </w:rPr>
        <w:t xml:space="preserve">and also </w:t>
      </w:r>
      <w:r w:rsidRPr="00F15C17">
        <w:rPr>
          <w:rFonts w:eastAsia="Times New Roman" w:cs="Arial"/>
          <w:sz w:val="20"/>
        </w:rPr>
        <w:t>through the whole database.</w:t>
      </w:r>
    </w:p>
    <w:p w14:paraId="394E6A83" w14:textId="77777777" w:rsidR="003A63EB" w:rsidRDefault="003A63EB" w:rsidP="001A1FFD">
      <w:pPr>
        <w:rPr>
          <w:rFonts w:eastAsia="Times New Roman" w:cs="Arial"/>
          <w:sz w:val="20"/>
        </w:rPr>
      </w:pPr>
    </w:p>
    <w:p w14:paraId="2EDA4735" w14:textId="4A487218" w:rsidR="00B137D2" w:rsidRPr="008D56D5" w:rsidRDefault="00E72357" w:rsidP="008D56D5">
      <w:r>
        <w:rPr>
          <w:noProof/>
        </w:rPr>
        <w:drawing>
          <wp:inline distT="0" distB="0" distL="0" distR="0" wp14:anchorId="584DEF97" wp14:editId="2796D5E6">
            <wp:extent cx="4259120" cy="6186158"/>
            <wp:effectExtent l="0" t="0" r="825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c_ig1.png"/>
                    <pic:cNvPicPr/>
                  </pic:nvPicPr>
                  <pic:blipFill>
                    <a:blip r:embed="rId13">
                      <a:extLst>
                        <a:ext uri="{28A0092B-C50C-407E-A947-70E740481C1C}">
                          <a14:useLocalDpi xmlns:a14="http://schemas.microsoft.com/office/drawing/2010/main" val="0"/>
                        </a:ext>
                      </a:extLst>
                    </a:blip>
                    <a:stretch>
                      <a:fillRect/>
                    </a:stretch>
                  </pic:blipFill>
                  <pic:spPr>
                    <a:xfrm>
                      <a:off x="0" y="0"/>
                      <a:ext cx="4259120" cy="6186158"/>
                    </a:xfrm>
                    <a:prstGeom prst="rect">
                      <a:avLst/>
                    </a:prstGeom>
                  </pic:spPr>
                </pic:pic>
              </a:graphicData>
            </a:graphic>
          </wp:inline>
        </w:drawing>
      </w:r>
    </w:p>
    <w:p w14:paraId="0C97CD30" w14:textId="4805CCF0" w:rsidR="008D56D5" w:rsidRPr="008D56D5" w:rsidRDefault="008D56D5" w:rsidP="008D56D5">
      <w:r w:rsidRPr="008D56D5">
        <w:t>Example of a bacterial cluster PCLA_5029913 glycoside hydrolase</w:t>
      </w:r>
    </w:p>
    <w:p w14:paraId="54C6B7F7" w14:textId="77777777" w:rsidR="0086798C" w:rsidRPr="00700D74" w:rsidRDefault="00997A40" w:rsidP="0086798C">
      <w:pPr>
        <w:pStyle w:val="Heading2"/>
        <w:rPr>
          <w:rFonts w:cs="Arial"/>
          <w:color w:val="7F7F7F" w:themeColor="text1" w:themeTint="80"/>
          <w:sz w:val="24"/>
          <w:szCs w:val="24"/>
        </w:rPr>
      </w:pPr>
      <w:r w:rsidRPr="00700D74">
        <w:rPr>
          <w:rFonts w:cs="Arial"/>
          <w:color w:val="7F7F7F" w:themeColor="text1" w:themeTint="80"/>
          <w:sz w:val="24"/>
          <w:szCs w:val="24"/>
        </w:rPr>
        <w:t>Cluster</w:t>
      </w:r>
      <w:r w:rsidR="00BD2CE7" w:rsidRPr="00700D74">
        <w:rPr>
          <w:rFonts w:cs="Arial"/>
          <w:color w:val="7F7F7F" w:themeColor="text1" w:themeTint="80"/>
          <w:sz w:val="24"/>
          <w:szCs w:val="24"/>
        </w:rPr>
        <w:t>ing Method</w:t>
      </w:r>
      <w:r w:rsidR="00937C59">
        <w:rPr>
          <w:rFonts w:cs="Arial"/>
          <w:color w:val="7F7F7F" w:themeColor="text1" w:themeTint="80"/>
          <w:sz w:val="24"/>
          <w:szCs w:val="24"/>
        </w:rPr>
        <w:t>s</w:t>
      </w:r>
    </w:p>
    <w:p w14:paraId="668C6DB3" w14:textId="7F1257CA" w:rsidR="003C75D3" w:rsidRDefault="00937C59" w:rsidP="00FC0B87">
      <w:pPr>
        <w:pStyle w:val="Heading3"/>
      </w:pPr>
      <w:r>
        <w:t xml:space="preserve">Partitioning in </w:t>
      </w:r>
      <w:r w:rsidR="00FA6BE5">
        <w:t>C</w:t>
      </w:r>
      <w:r w:rsidR="00FB4547" w:rsidRPr="003C75D3">
        <w:t>lique</w:t>
      </w:r>
      <w:r>
        <w:t>s</w:t>
      </w:r>
    </w:p>
    <w:p w14:paraId="34595D3F" w14:textId="77777777" w:rsidR="00684A59" w:rsidRPr="003C75D3" w:rsidRDefault="00684A59" w:rsidP="00FB4547">
      <w:pPr>
        <w:rPr>
          <w:rFonts w:cs="Arial"/>
          <w:b/>
          <w:sz w:val="22"/>
          <w:szCs w:val="22"/>
        </w:rPr>
      </w:pPr>
    </w:p>
    <w:p w14:paraId="635AFEF8" w14:textId="58A7E35F" w:rsidR="00FB4547" w:rsidRPr="00221DFF" w:rsidRDefault="00FB4547" w:rsidP="00FB4547">
      <w:pPr>
        <w:pStyle w:val="PlainText"/>
        <w:rPr>
          <w:rFonts w:ascii="Arial" w:hAnsi="Arial" w:cs="Arial"/>
          <w:sz w:val="20"/>
          <w:szCs w:val="20"/>
        </w:rPr>
      </w:pPr>
      <w:r w:rsidRPr="00221DFF">
        <w:rPr>
          <w:rFonts w:ascii="Arial" w:hAnsi="Arial" w:cs="Arial"/>
          <w:sz w:val="20"/>
          <w:szCs w:val="20"/>
        </w:rPr>
        <w:t xml:space="preserve">Proteins are compared by sequence similarity using </w:t>
      </w:r>
      <w:r w:rsidRPr="004C3C3B">
        <w:rPr>
          <w:rFonts w:ascii="Arial" w:hAnsi="Arial" w:cs="Arial"/>
          <w:sz w:val="20"/>
          <w:szCs w:val="20"/>
        </w:rPr>
        <w:t>BLAST</w:t>
      </w:r>
      <w:r w:rsidRPr="00221DFF">
        <w:rPr>
          <w:rFonts w:ascii="Arial" w:hAnsi="Arial" w:cs="Arial"/>
          <w:sz w:val="20"/>
          <w:szCs w:val="20"/>
        </w:rPr>
        <w:t xml:space="preserve"> all against all (E-value cutoff 10E-05; effective length of the search space</w:t>
      </w:r>
      <w:r w:rsidR="000D1DD0">
        <w:rPr>
          <w:rFonts w:ascii="Arial" w:hAnsi="Arial" w:cs="Arial"/>
          <w:sz w:val="20"/>
          <w:szCs w:val="20"/>
        </w:rPr>
        <w:t xml:space="preserve"> is</w:t>
      </w:r>
      <w:r w:rsidRPr="00221DFF">
        <w:rPr>
          <w:rFonts w:ascii="Arial" w:hAnsi="Arial" w:cs="Arial"/>
          <w:sz w:val="20"/>
          <w:szCs w:val="20"/>
        </w:rPr>
        <w:t xml:space="preserve"> set to 5 × 10E8). Each BLAST score is then modified by protein length × alignment length of the BLAST hit and the modified scores are sorted. Clusters (also known as cliques) consist of protein sets such that every member of the cluster hits every other protein member (reciprocal best hits by modified score). Cluster membership is such that for any given protein in the cluster (protein A), all the other members of the cluster will have a greater modified score to protein A than any protein outside of th</w:t>
      </w:r>
      <w:r w:rsidR="004C3C3B">
        <w:rPr>
          <w:rFonts w:ascii="Arial" w:hAnsi="Arial" w:cs="Arial"/>
          <w:sz w:val="20"/>
          <w:szCs w:val="20"/>
        </w:rPr>
        <w:t>at cluster</w:t>
      </w:r>
      <w:r w:rsidRPr="00221DFF">
        <w:rPr>
          <w:rFonts w:ascii="Arial" w:hAnsi="Arial" w:cs="Arial"/>
          <w:sz w:val="20"/>
          <w:szCs w:val="20"/>
        </w:rPr>
        <w:t xml:space="preserve">. </w:t>
      </w:r>
      <w:r w:rsidR="00FB0ECF" w:rsidRPr="00221DFF">
        <w:rPr>
          <w:rFonts w:ascii="Arial" w:hAnsi="Arial" w:cs="Arial"/>
          <w:sz w:val="20"/>
          <w:szCs w:val="20"/>
        </w:rPr>
        <w:t>During</w:t>
      </w:r>
      <w:r w:rsidR="00FB0ECF">
        <w:rPr>
          <w:rFonts w:ascii="Arial" w:hAnsi="Arial" w:cs="Arial"/>
          <w:sz w:val="20"/>
          <w:szCs w:val="20"/>
        </w:rPr>
        <w:t xml:space="preserve"> clustering, t</w:t>
      </w:r>
      <w:r w:rsidRPr="00221DFF">
        <w:rPr>
          <w:rFonts w:ascii="Arial" w:hAnsi="Arial" w:cs="Arial"/>
          <w:sz w:val="20"/>
          <w:szCs w:val="20"/>
        </w:rPr>
        <w:t xml:space="preserve">here are no </w:t>
      </w:r>
      <w:r w:rsidRPr="00221DFF">
        <w:rPr>
          <w:rFonts w:ascii="Arial" w:hAnsi="Arial" w:cs="Arial"/>
          <w:sz w:val="20"/>
          <w:szCs w:val="20"/>
        </w:rPr>
        <w:lastRenderedPageBreak/>
        <w:t xml:space="preserve">cutoffs used </w:t>
      </w:r>
      <w:r w:rsidR="000D1DD0">
        <w:rPr>
          <w:rFonts w:ascii="Arial" w:hAnsi="Arial" w:cs="Arial"/>
          <w:sz w:val="20"/>
          <w:szCs w:val="20"/>
        </w:rPr>
        <w:t>n</w:t>
      </w:r>
      <w:r w:rsidRPr="00221DFF">
        <w:rPr>
          <w:rFonts w:ascii="Arial" w:hAnsi="Arial" w:cs="Arial"/>
          <w:sz w:val="20"/>
          <w:szCs w:val="20"/>
        </w:rPr>
        <w:t xml:space="preserve">or strict requirements for clusters of orthologous groups, </w:t>
      </w:r>
      <w:r w:rsidR="000D1DD0">
        <w:rPr>
          <w:rFonts w:ascii="Arial" w:hAnsi="Arial" w:cs="Arial"/>
          <w:sz w:val="20"/>
          <w:szCs w:val="20"/>
        </w:rPr>
        <w:t>n</w:t>
      </w:r>
      <w:r w:rsidRPr="00221DFF">
        <w:rPr>
          <w:rFonts w:ascii="Arial" w:hAnsi="Arial" w:cs="Arial"/>
          <w:sz w:val="20"/>
          <w:szCs w:val="20"/>
        </w:rPr>
        <w:t xml:space="preserve">or any check on phylogenetic distance. The initial </w:t>
      </w:r>
      <w:r w:rsidR="005B7A1D" w:rsidRPr="00221DFF">
        <w:rPr>
          <w:rFonts w:ascii="Arial" w:hAnsi="Arial" w:cs="Arial"/>
          <w:sz w:val="20"/>
          <w:szCs w:val="20"/>
        </w:rPr>
        <w:t>set of uncurated c</w:t>
      </w:r>
      <w:r w:rsidR="005138DE">
        <w:rPr>
          <w:rFonts w:ascii="Arial" w:hAnsi="Arial" w:cs="Arial"/>
          <w:sz w:val="20"/>
          <w:szCs w:val="20"/>
        </w:rPr>
        <w:t>lusters created in 2005 was</w:t>
      </w:r>
      <w:r w:rsidRPr="00221DFF">
        <w:rPr>
          <w:rFonts w:ascii="Arial" w:hAnsi="Arial" w:cs="Arial"/>
          <w:sz w:val="20"/>
          <w:szCs w:val="20"/>
        </w:rPr>
        <w:t xml:space="preserve"> used as a starting point for curation and has been updated </w:t>
      </w:r>
      <w:r w:rsidR="008742BB">
        <w:rPr>
          <w:rFonts w:ascii="Arial" w:hAnsi="Arial" w:cs="Arial"/>
          <w:sz w:val="20"/>
          <w:szCs w:val="20"/>
        </w:rPr>
        <w:t>periodically</w:t>
      </w:r>
      <w:r w:rsidRPr="00221DFF">
        <w:rPr>
          <w:rFonts w:ascii="Arial" w:hAnsi="Arial" w:cs="Arial"/>
          <w:sz w:val="20"/>
          <w:szCs w:val="20"/>
        </w:rPr>
        <w:t xml:space="preserve"> sin</w:t>
      </w:r>
      <w:r w:rsidR="005B7A1D">
        <w:rPr>
          <w:rFonts w:ascii="Arial" w:hAnsi="Arial" w:cs="Arial"/>
          <w:sz w:val="20"/>
          <w:szCs w:val="20"/>
        </w:rPr>
        <w:t>ce then</w:t>
      </w:r>
      <w:r w:rsidRPr="00221DFF">
        <w:rPr>
          <w:rFonts w:ascii="Arial" w:hAnsi="Arial" w:cs="Arial"/>
          <w:sz w:val="20"/>
          <w:szCs w:val="20"/>
        </w:rPr>
        <w:t xml:space="preserve">. During updates, new proteins are added to curated clusters. In the uncurated cluster set, proteins are allowed to repartition into different cluster sets, although this happens rarely and </w:t>
      </w:r>
      <w:r w:rsidR="005B7A1D">
        <w:rPr>
          <w:rFonts w:ascii="Arial" w:hAnsi="Arial" w:cs="Arial"/>
          <w:sz w:val="20"/>
          <w:szCs w:val="20"/>
        </w:rPr>
        <w:t xml:space="preserve">usually only in the case of </w:t>
      </w:r>
      <w:r w:rsidRPr="00221DFF">
        <w:rPr>
          <w:rFonts w:ascii="Arial" w:hAnsi="Arial" w:cs="Arial"/>
          <w:sz w:val="20"/>
          <w:szCs w:val="20"/>
        </w:rPr>
        <w:t>smaller clusters.</w:t>
      </w:r>
    </w:p>
    <w:p w14:paraId="34F45C11" w14:textId="77777777" w:rsidR="00FB4547" w:rsidRPr="00221DFF" w:rsidRDefault="00FB4547" w:rsidP="00FB4547">
      <w:pPr>
        <w:rPr>
          <w:rFonts w:cs="Arial"/>
          <w:sz w:val="20"/>
        </w:rPr>
      </w:pPr>
    </w:p>
    <w:p w14:paraId="1D7CC834" w14:textId="1C5947A9" w:rsidR="00FB4547" w:rsidRDefault="00FB4547" w:rsidP="00FC0B87">
      <w:pPr>
        <w:pStyle w:val="Heading3"/>
      </w:pPr>
      <w:r w:rsidRPr="003C75D3">
        <w:t>Hie</w:t>
      </w:r>
      <w:r w:rsidR="00684A59">
        <w:t xml:space="preserve">rarchical </w:t>
      </w:r>
      <w:r w:rsidR="00FA6BE5">
        <w:t>A</w:t>
      </w:r>
      <w:r w:rsidR="00684A59">
        <w:t xml:space="preserve">ggregation in </w:t>
      </w:r>
      <w:r w:rsidR="00FA6BE5">
        <w:t>C</w:t>
      </w:r>
      <w:r w:rsidR="00684A59">
        <w:t>liques</w:t>
      </w:r>
    </w:p>
    <w:p w14:paraId="57192611" w14:textId="77777777" w:rsidR="00684A59" w:rsidRPr="003C75D3" w:rsidRDefault="00684A59" w:rsidP="00FB4547">
      <w:pPr>
        <w:rPr>
          <w:rFonts w:cs="Arial"/>
          <w:b/>
          <w:sz w:val="22"/>
          <w:szCs w:val="22"/>
        </w:rPr>
      </w:pPr>
    </w:p>
    <w:p w14:paraId="7AD63656" w14:textId="77777777" w:rsidR="00FB4547" w:rsidRDefault="00FB4547" w:rsidP="00FB4547">
      <w:pPr>
        <w:rPr>
          <w:rFonts w:cs="Arial"/>
          <w:sz w:val="20"/>
        </w:rPr>
      </w:pPr>
      <w:r w:rsidRPr="00221DFF">
        <w:rPr>
          <w:rFonts w:cs="Arial"/>
          <w:sz w:val="20"/>
        </w:rPr>
        <w:t>A new approach implemented for prokaryotic genomes is based on hierarchical clustering. While a hierarchical structure is conventionally represented by a dendrogram and clusters are selected as a sub-tree correspon</w:t>
      </w:r>
      <w:r w:rsidR="00336417">
        <w:rPr>
          <w:rFonts w:cs="Arial"/>
          <w:sz w:val="20"/>
        </w:rPr>
        <w:t>din</w:t>
      </w:r>
      <w:r w:rsidR="00DE5301">
        <w:rPr>
          <w:rFonts w:cs="Arial"/>
          <w:sz w:val="20"/>
        </w:rPr>
        <w:t xml:space="preserve">g to a certain threshold </w:t>
      </w:r>
      <w:r w:rsidR="00CC7B48">
        <w:rPr>
          <w:rFonts w:cs="Arial"/>
          <w:sz w:val="20"/>
        </w:rPr>
        <w:t>(</w:t>
      </w:r>
      <w:r w:rsidR="00DE5301">
        <w:rPr>
          <w:rFonts w:cs="Arial"/>
          <w:sz w:val="20"/>
        </w:rPr>
        <w:t>14, 17</w:t>
      </w:r>
      <w:r w:rsidR="00336417">
        <w:rPr>
          <w:rFonts w:cs="Arial"/>
          <w:sz w:val="20"/>
        </w:rPr>
        <w:t>, 18</w:t>
      </w:r>
      <w:r w:rsidR="00CC7B48">
        <w:rPr>
          <w:rFonts w:cs="Arial"/>
          <w:sz w:val="20"/>
        </w:rPr>
        <w:t>)</w:t>
      </w:r>
      <w:r w:rsidRPr="00221DFF">
        <w:rPr>
          <w:rFonts w:cs="Arial"/>
          <w:sz w:val="20"/>
        </w:rPr>
        <w:t>, the hierarchical structure goes beyond sim</w:t>
      </w:r>
      <w:r w:rsidR="00336417">
        <w:rPr>
          <w:rFonts w:cs="Arial"/>
          <w:sz w:val="20"/>
        </w:rPr>
        <w:t xml:space="preserve">ple clustering </w:t>
      </w:r>
      <w:r w:rsidR="00CC7B48">
        <w:rPr>
          <w:rFonts w:cs="Arial"/>
          <w:sz w:val="20"/>
        </w:rPr>
        <w:t>(</w:t>
      </w:r>
      <w:r w:rsidR="00336417">
        <w:rPr>
          <w:rFonts w:cs="Arial"/>
          <w:sz w:val="20"/>
        </w:rPr>
        <w:t>1, 3</w:t>
      </w:r>
      <w:r w:rsidR="00CC7B48">
        <w:rPr>
          <w:rFonts w:cs="Arial"/>
          <w:sz w:val="20"/>
        </w:rPr>
        <w:t>)</w:t>
      </w:r>
      <w:r w:rsidRPr="00221DFF">
        <w:rPr>
          <w:rFonts w:cs="Arial"/>
          <w:sz w:val="20"/>
        </w:rPr>
        <w:t>. First, all the proteins are organized in global clusters, then links between clusters are calculated reflecting the similarity between the clus</w:t>
      </w:r>
      <w:r w:rsidR="0006115C">
        <w:rPr>
          <w:rFonts w:cs="Arial"/>
          <w:sz w:val="20"/>
        </w:rPr>
        <w:t>ters based on several criteria.</w:t>
      </w:r>
    </w:p>
    <w:p w14:paraId="06EF6B1F" w14:textId="77777777" w:rsidR="0006115C" w:rsidRPr="00221DFF" w:rsidRDefault="0006115C" w:rsidP="00FB4547">
      <w:pPr>
        <w:rPr>
          <w:rFonts w:cs="Arial"/>
          <w:sz w:val="20"/>
        </w:rPr>
      </w:pPr>
    </w:p>
    <w:p w14:paraId="46DFAFCC" w14:textId="77A66306" w:rsidR="00FA6BE5" w:rsidRDefault="00FB4547" w:rsidP="00FB4547">
      <w:pPr>
        <w:rPr>
          <w:rFonts w:cs="Arial"/>
          <w:b/>
          <w:sz w:val="20"/>
        </w:rPr>
      </w:pPr>
      <w:r w:rsidRPr="00B17F65">
        <w:rPr>
          <w:rFonts w:cs="Arial"/>
          <w:b/>
          <w:sz w:val="20"/>
        </w:rPr>
        <w:t xml:space="preserve">Protein </w:t>
      </w:r>
      <w:r w:rsidR="00FA6BE5">
        <w:rPr>
          <w:rFonts w:cs="Arial"/>
          <w:b/>
          <w:sz w:val="20"/>
        </w:rPr>
        <w:t>C</w:t>
      </w:r>
      <w:r w:rsidR="00FA6BE5" w:rsidRPr="00B17F65">
        <w:rPr>
          <w:rFonts w:cs="Arial"/>
          <w:b/>
          <w:sz w:val="20"/>
        </w:rPr>
        <w:t xml:space="preserve">lustering </w:t>
      </w:r>
      <w:r w:rsidR="00FA6BE5">
        <w:rPr>
          <w:rFonts w:cs="Arial"/>
          <w:b/>
          <w:sz w:val="20"/>
        </w:rPr>
        <w:t>P</w:t>
      </w:r>
      <w:r w:rsidR="00FA6BE5" w:rsidRPr="00B17F65">
        <w:rPr>
          <w:rFonts w:cs="Arial"/>
          <w:b/>
          <w:sz w:val="20"/>
        </w:rPr>
        <w:t>rocedure</w:t>
      </w:r>
    </w:p>
    <w:p w14:paraId="498C60D7" w14:textId="77777777" w:rsidR="00FA6BE5" w:rsidRDefault="00FA6BE5" w:rsidP="00FB4547">
      <w:pPr>
        <w:rPr>
          <w:rFonts w:cs="Arial"/>
          <w:b/>
          <w:sz w:val="20"/>
        </w:rPr>
      </w:pPr>
    </w:p>
    <w:p w14:paraId="29ED2AB4" w14:textId="4531C747" w:rsidR="00FB4547" w:rsidRDefault="00FB4547" w:rsidP="00FB4547">
      <w:pPr>
        <w:rPr>
          <w:rFonts w:eastAsiaTheme="minorEastAsia" w:cs="Arial"/>
          <w:sz w:val="20"/>
        </w:rPr>
      </w:pPr>
      <w:r w:rsidRPr="00221DFF">
        <w:rPr>
          <w:rFonts w:cs="Arial"/>
          <w:sz w:val="20"/>
        </w:rPr>
        <w:t xml:space="preserve">The similarity of proteins is determined from the aggregated BLAST hits obtained by </w:t>
      </w:r>
      <w:r w:rsidRPr="00221DFF">
        <w:rPr>
          <w:rFonts w:cs="Arial"/>
          <w:i/>
          <w:sz w:val="20"/>
        </w:rPr>
        <w:t>blastp</w:t>
      </w:r>
      <w:r w:rsidRPr="00221DFF">
        <w:rPr>
          <w:rFonts w:cs="Arial"/>
          <w:sz w:val="20"/>
        </w:rPr>
        <w:t xml:space="preserve"> with e-value </w:t>
      </w:r>
      <m:oMath>
        <m:sSup>
          <m:sSupPr>
            <m:ctrlPr>
              <w:rPr>
                <w:rFonts w:ascii="Cambria Math" w:hAnsi="Cambria Math" w:cs="Arial"/>
                <w:i/>
                <w:sz w:val="20"/>
              </w:rPr>
            </m:ctrlPr>
          </m:sSupPr>
          <m:e>
            <m:r>
              <w:rPr>
                <w:rFonts w:ascii="Cambria Math" w:hAnsi="Cambria Math" w:cs="Arial"/>
                <w:sz w:val="20"/>
              </w:rPr>
              <m:t>10</m:t>
            </m:r>
          </m:e>
          <m:sup>
            <m:r>
              <w:rPr>
                <w:rFonts w:ascii="Cambria Math" w:hAnsi="Cambria Math" w:cs="Arial"/>
                <w:sz w:val="20"/>
              </w:rPr>
              <m:t>-3</m:t>
            </m:r>
          </m:sup>
        </m:sSup>
      </m:oMath>
      <w:r w:rsidRPr="00221DFF">
        <w:rPr>
          <w:rFonts w:cs="Arial"/>
          <w:sz w:val="20"/>
        </w:rPr>
        <w:t xml:space="preserve">. Two proteins are considered connected if there is an aggregated BLAST hit between them satisfying criteria on hit length and score. More specifically, we require the aggregated hit lengths on each protein, </w:t>
      </w:r>
      <m:oMath>
        <m:sSubSup>
          <m:sSubSupPr>
            <m:ctrlPr>
              <w:rPr>
                <w:rFonts w:ascii="Cambria Math" w:hAnsi="Cambria Math" w:cs="Arial"/>
                <w:i/>
                <w:sz w:val="20"/>
              </w:rPr>
            </m:ctrlPr>
          </m:sSubSupPr>
          <m:e>
            <m:r>
              <w:rPr>
                <w:rFonts w:ascii="Cambria Math" w:hAnsi="Cambria Math" w:cs="Arial"/>
                <w:sz w:val="20"/>
              </w:rPr>
              <m:t>l</m:t>
            </m:r>
          </m:e>
          <m:sub>
            <m:r>
              <w:rPr>
                <w:rFonts w:ascii="Cambria Math" w:hAnsi="Cambria Math" w:cs="Arial"/>
                <w:sz w:val="20"/>
              </w:rPr>
              <m:t>ij</m:t>
            </m:r>
          </m:sub>
          <m:sup>
            <m:r>
              <w:rPr>
                <w:rFonts w:ascii="Cambria Math" w:hAnsi="Cambria Math" w:cs="Arial"/>
                <w:sz w:val="20"/>
              </w:rPr>
              <m:t>(1)</m:t>
            </m:r>
          </m:sup>
        </m:sSubSup>
      </m:oMath>
      <w:r w:rsidRPr="00221DFF">
        <w:rPr>
          <w:rFonts w:cs="Arial"/>
          <w:sz w:val="20"/>
        </w:rPr>
        <w:t xml:space="preserve"> and </w:t>
      </w:r>
      <m:oMath>
        <m:sSubSup>
          <m:sSubSupPr>
            <m:ctrlPr>
              <w:rPr>
                <w:rFonts w:ascii="Cambria Math" w:hAnsi="Cambria Math" w:cs="Arial"/>
                <w:i/>
                <w:sz w:val="20"/>
              </w:rPr>
            </m:ctrlPr>
          </m:sSubSupPr>
          <m:e>
            <m:r>
              <w:rPr>
                <w:rFonts w:ascii="Cambria Math" w:hAnsi="Cambria Math" w:cs="Arial"/>
                <w:sz w:val="20"/>
              </w:rPr>
              <m:t>l</m:t>
            </m:r>
          </m:e>
          <m:sub>
            <m:r>
              <w:rPr>
                <w:rFonts w:ascii="Cambria Math" w:hAnsi="Cambria Math" w:cs="Arial"/>
                <w:sz w:val="20"/>
              </w:rPr>
              <m:t>ij</m:t>
            </m:r>
          </m:sub>
          <m:sup>
            <m:r>
              <w:rPr>
                <w:rFonts w:ascii="Cambria Math" w:hAnsi="Cambria Math" w:cs="Arial"/>
                <w:sz w:val="20"/>
              </w:rPr>
              <m:t>(2)</m:t>
            </m:r>
          </m:sup>
        </m:sSubSup>
      </m:oMath>
      <w:r w:rsidRPr="00221DFF">
        <w:rPr>
          <w:rFonts w:cs="Arial"/>
          <w:sz w:val="20"/>
        </w:rPr>
        <w:t xml:space="preserve">, satisfy the inequalities </w:t>
      </w:r>
      <m:oMath>
        <m:sSubSup>
          <m:sSubSupPr>
            <m:ctrlPr>
              <w:rPr>
                <w:rFonts w:ascii="Cambria Math" w:hAnsi="Cambria Math" w:cs="Arial"/>
                <w:i/>
                <w:sz w:val="20"/>
              </w:rPr>
            </m:ctrlPr>
          </m:sSubSupPr>
          <m:e>
            <m:r>
              <w:rPr>
                <w:rFonts w:ascii="Cambria Math" w:hAnsi="Cambria Math" w:cs="Arial"/>
                <w:sz w:val="20"/>
              </w:rPr>
              <m:t>l</m:t>
            </m:r>
          </m:e>
          <m:sub>
            <m:r>
              <w:rPr>
                <w:rFonts w:ascii="Cambria Math" w:hAnsi="Cambria Math" w:cs="Arial"/>
                <w:sz w:val="20"/>
              </w:rPr>
              <m:t>ij</m:t>
            </m:r>
          </m:sub>
          <m:sup>
            <m:r>
              <w:rPr>
                <w:rFonts w:ascii="Cambria Math" w:hAnsi="Cambria Math" w:cs="Arial"/>
                <w:sz w:val="20"/>
              </w:rPr>
              <m:t>(1)</m:t>
            </m:r>
          </m:sup>
        </m:sSubSup>
        <m:r>
          <w:rPr>
            <w:rFonts w:ascii="Cambria Math" w:hAnsi="Cambria Math" w:cs="Arial"/>
            <w:sz w:val="20"/>
          </w:rPr>
          <m:t xml:space="preserve"> ≥ε</m:t>
        </m:r>
        <m:sSub>
          <m:sSubPr>
            <m:ctrlPr>
              <w:rPr>
                <w:rFonts w:ascii="Cambria Math" w:hAnsi="Cambria Math" w:cs="Arial"/>
                <w:i/>
                <w:sz w:val="20"/>
              </w:rPr>
            </m:ctrlPr>
          </m:sSubPr>
          <m:e>
            <m:r>
              <w:rPr>
                <w:rFonts w:ascii="Cambria Math" w:hAnsi="Cambria Math" w:cs="Arial"/>
                <w:sz w:val="20"/>
              </w:rPr>
              <m:t>∙l</m:t>
            </m:r>
          </m:e>
          <m:sub>
            <m:r>
              <w:rPr>
                <w:rFonts w:ascii="Cambria Math" w:hAnsi="Cambria Math" w:cs="Arial"/>
                <w:sz w:val="20"/>
              </w:rPr>
              <m:t>i</m:t>
            </m:r>
          </m:sub>
        </m:sSub>
      </m:oMath>
      <w:r w:rsidRPr="00221DFF">
        <w:rPr>
          <w:rFonts w:eastAsiaTheme="minorEastAsia" w:cs="Arial"/>
          <w:sz w:val="20"/>
        </w:rPr>
        <w:t xml:space="preserve"> and </w:t>
      </w:r>
      <m:oMath>
        <m:sSubSup>
          <m:sSubSupPr>
            <m:ctrlPr>
              <w:rPr>
                <w:rFonts w:ascii="Cambria Math" w:hAnsi="Cambria Math" w:cs="Arial"/>
                <w:i/>
                <w:sz w:val="20"/>
              </w:rPr>
            </m:ctrlPr>
          </m:sSubSupPr>
          <m:e>
            <m:r>
              <w:rPr>
                <w:rFonts w:ascii="Cambria Math" w:hAnsi="Cambria Math" w:cs="Arial"/>
                <w:sz w:val="20"/>
              </w:rPr>
              <m:t>l</m:t>
            </m:r>
          </m:e>
          <m:sub>
            <m:r>
              <w:rPr>
                <w:rFonts w:ascii="Cambria Math" w:hAnsi="Cambria Math" w:cs="Arial"/>
                <w:sz w:val="20"/>
              </w:rPr>
              <m:t>ij</m:t>
            </m:r>
          </m:sub>
          <m:sup>
            <m:r>
              <w:rPr>
                <w:rFonts w:ascii="Cambria Math" w:hAnsi="Cambria Math" w:cs="Arial"/>
                <w:sz w:val="20"/>
              </w:rPr>
              <m:t>(1)</m:t>
            </m:r>
          </m:sup>
        </m:sSubSup>
        <m:r>
          <w:rPr>
            <w:rFonts w:ascii="Cambria Math" w:hAnsi="Cambria Math" w:cs="Arial"/>
            <w:sz w:val="20"/>
          </w:rPr>
          <m:t xml:space="preserve"> ≥ε</m:t>
        </m:r>
        <m:sSub>
          <m:sSubPr>
            <m:ctrlPr>
              <w:rPr>
                <w:rFonts w:ascii="Cambria Math" w:hAnsi="Cambria Math" w:cs="Arial"/>
                <w:i/>
                <w:sz w:val="20"/>
              </w:rPr>
            </m:ctrlPr>
          </m:sSubPr>
          <m:e>
            <m:r>
              <w:rPr>
                <w:rFonts w:ascii="Cambria Math" w:hAnsi="Cambria Math" w:cs="Arial"/>
                <w:sz w:val="20"/>
              </w:rPr>
              <m:t>∙l</m:t>
            </m:r>
          </m:e>
          <m:sub>
            <m:r>
              <w:rPr>
                <w:rFonts w:ascii="Cambria Math" w:hAnsi="Cambria Math" w:cs="Arial"/>
                <w:sz w:val="20"/>
              </w:rPr>
              <m:t>j</m:t>
            </m:r>
          </m:sub>
        </m:sSub>
      </m:oMath>
      <w:r w:rsidRPr="00221DFF">
        <w:rPr>
          <w:rFonts w:eastAsiaTheme="minorEastAsia" w:cs="Arial"/>
          <w:sz w:val="20"/>
        </w:rPr>
        <w:t xml:space="preserve">, where </w:t>
      </w:r>
      <m:oMath>
        <m:sSub>
          <m:sSubPr>
            <m:ctrlPr>
              <w:rPr>
                <w:rFonts w:ascii="Cambria Math" w:hAnsi="Cambria Math" w:cs="Arial"/>
                <w:i/>
                <w:sz w:val="20"/>
              </w:rPr>
            </m:ctrlPr>
          </m:sSubPr>
          <m:e>
            <m:r>
              <w:rPr>
                <w:rFonts w:ascii="Cambria Math" w:hAnsi="Cambria Math" w:cs="Arial"/>
                <w:sz w:val="20"/>
              </w:rPr>
              <m:t>l</m:t>
            </m:r>
          </m:e>
          <m:sub>
            <m:r>
              <w:rPr>
                <w:rFonts w:ascii="Cambria Math" w:hAnsi="Cambria Math" w:cs="Arial"/>
                <w:sz w:val="20"/>
              </w:rPr>
              <m:t>i</m:t>
            </m:r>
          </m:sub>
        </m:sSub>
      </m:oMath>
      <w:r w:rsidRPr="00221DFF">
        <w:rPr>
          <w:rFonts w:eastAsiaTheme="minorEastAsia" w:cs="Arial"/>
          <w:sz w:val="20"/>
        </w:rPr>
        <w:t xml:space="preserve"> and </w:t>
      </w:r>
      <m:oMath>
        <m:sSub>
          <m:sSubPr>
            <m:ctrlPr>
              <w:rPr>
                <w:rFonts w:ascii="Cambria Math" w:hAnsi="Cambria Math" w:cs="Arial"/>
                <w:i/>
                <w:sz w:val="20"/>
              </w:rPr>
            </m:ctrlPr>
          </m:sSubPr>
          <m:e>
            <m:r>
              <w:rPr>
                <w:rFonts w:ascii="Cambria Math" w:hAnsi="Cambria Math" w:cs="Arial"/>
                <w:sz w:val="20"/>
              </w:rPr>
              <m:t>l</m:t>
            </m:r>
          </m:e>
          <m:sub>
            <m:r>
              <w:rPr>
                <w:rFonts w:ascii="Cambria Math" w:hAnsi="Cambria Math" w:cs="Arial"/>
                <w:sz w:val="20"/>
              </w:rPr>
              <m:t>j</m:t>
            </m:r>
          </m:sub>
        </m:sSub>
      </m:oMath>
      <w:r w:rsidRPr="00221DFF">
        <w:rPr>
          <w:rFonts w:eastAsiaTheme="minorEastAsia" w:cs="Arial"/>
          <w:sz w:val="20"/>
        </w:rPr>
        <w:t xml:space="preserve"> are lengths of proteins, and </w:t>
      </w:r>
      <m:oMath>
        <m:r>
          <w:rPr>
            <w:rFonts w:ascii="Cambria Math" w:eastAsiaTheme="minorEastAsia" w:hAnsi="Cambria Math" w:cs="Arial"/>
            <w:sz w:val="20"/>
          </w:rPr>
          <m:t>0.5&lt; ε&lt;1</m:t>
        </m:r>
      </m:oMath>
      <w:r w:rsidRPr="00221DFF">
        <w:rPr>
          <w:rFonts w:eastAsiaTheme="minorEastAsia" w:cs="Arial"/>
          <w:sz w:val="20"/>
        </w:rPr>
        <w:t xml:space="preserve">, and the aggregated BLAST score </w:t>
      </w:r>
      <m:oMath>
        <m:sSub>
          <m:sSubPr>
            <m:ctrlPr>
              <w:rPr>
                <w:rFonts w:ascii="Cambria Math" w:hAnsi="Cambria Math" w:cs="Arial"/>
                <w:i/>
                <w:sz w:val="20"/>
              </w:rPr>
            </m:ctrlPr>
          </m:sSubPr>
          <m:e>
            <m:r>
              <w:rPr>
                <w:rFonts w:ascii="Cambria Math" w:hAnsi="Cambria Math" w:cs="Arial"/>
                <w:sz w:val="20"/>
              </w:rPr>
              <m:t>S</m:t>
            </m:r>
          </m:e>
          <m:sub>
            <m:r>
              <w:rPr>
                <w:rFonts w:ascii="Cambria Math" w:hAnsi="Cambria Math" w:cs="Arial"/>
                <w:sz w:val="20"/>
              </w:rPr>
              <m:t>ij</m:t>
            </m:r>
          </m:sub>
        </m:sSub>
        <m:r>
          <w:rPr>
            <w:rFonts w:ascii="Cambria Math" w:hAnsi="Cambria Math" w:cs="Arial"/>
            <w:sz w:val="20"/>
          </w:rPr>
          <m:t xml:space="preserve"> </m:t>
        </m:r>
      </m:oMath>
      <w:r w:rsidRPr="00221DFF">
        <w:rPr>
          <w:rFonts w:eastAsiaTheme="minorEastAsia" w:cs="Arial"/>
          <w:sz w:val="20"/>
        </w:rPr>
        <w:t xml:space="preserve">satisfy the inequality </w:t>
      </w:r>
      <m:oMath>
        <m:sSub>
          <m:sSubPr>
            <m:ctrlPr>
              <w:rPr>
                <w:rFonts w:ascii="Cambria Math" w:hAnsi="Cambria Math" w:cs="Arial"/>
                <w:i/>
                <w:sz w:val="20"/>
              </w:rPr>
            </m:ctrlPr>
          </m:sSubPr>
          <m:e>
            <m:r>
              <w:rPr>
                <w:rFonts w:ascii="Cambria Math" w:hAnsi="Cambria Math" w:cs="Arial"/>
                <w:sz w:val="20"/>
              </w:rPr>
              <m:t>S</m:t>
            </m:r>
          </m:e>
          <m:sub>
            <m:r>
              <w:rPr>
                <w:rFonts w:ascii="Cambria Math" w:hAnsi="Cambria Math" w:cs="Arial"/>
                <w:sz w:val="20"/>
              </w:rPr>
              <m:t>ij</m:t>
            </m:r>
          </m:sub>
        </m:sSub>
        <m:r>
          <w:rPr>
            <w:rFonts w:ascii="Cambria Math" w:hAnsi="Cambria Math" w:cs="Arial"/>
            <w:sz w:val="20"/>
          </w:rPr>
          <m:t>≥γ∙</m:t>
        </m:r>
        <m:r>
          <m:rPr>
            <m:sty m:val="p"/>
          </m:rPr>
          <w:rPr>
            <w:rFonts w:ascii="Cambria Math" w:hAnsi="Cambria Math" w:cs="Arial"/>
            <w:sz w:val="20"/>
          </w:rPr>
          <m:t>max⁡</m:t>
        </m:r>
        <m:r>
          <w:rPr>
            <w:rFonts w:ascii="Cambria Math" w:hAnsi="Cambria Math" w:cs="Arial"/>
            <w:sz w:val="20"/>
          </w:rPr>
          <m:t>(</m:t>
        </m:r>
        <m:sSub>
          <m:sSubPr>
            <m:ctrlPr>
              <w:rPr>
                <w:rFonts w:ascii="Cambria Math" w:hAnsi="Cambria Math" w:cs="Arial"/>
                <w:i/>
                <w:sz w:val="20"/>
              </w:rPr>
            </m:ctrlPr>
          </m:sSubPr>
          <m:e>
            <m:r>
              <w:rPr>
                <w:rFonts w:ascii="Cambria Math" w:hAnsi="Cambria Math" w:cs="Arial"/>
                <w:sz w:val="20"/>
              </w:rPr>
              <m:t>S</m:t>
            </m:r>
          </m:e>
          <m:sub>
            <m:r>
              <w:rPr>
                <w:rFonts w:ascii="Cambria Math" w:hAnsi="Cambria Math" w:cs="Arial"/>
                <w:sz w:val="20"/>
              </w:rPr>
              <m:t>ii</m:t>
            </m:r>
          </m:sub>
        </m:sSub>
        <m:r>
          <w:rPr>
            <w:rFonts w:ascii="Cambria Math" w:hAnsi="Cambria Math" w:cs="Arial"/>
            <w:sz w:val="20"/>
          </w:rPr>
          <m:t xml:space="preserve">, </m:t>
        </m:r>
        <m:sSub>
          <m:sSubPr>
            <m:ctrlPr>
              <w:rPr>
                <w:rFonts w:ascii="Cambria Math" w:hAnsi="Cambria Math" w:cs="Arial"/>
                <w:i/>
                <w:sz w:val="20"/>
              </w:rPr>
            </m:ctrlPr>
          </m:sSubPr>
          <m:e>
            <m:r>
              <w:rPr>
                <w:rFonts w:ascii="Cambria Math" w:hAnsi="Cambria Math" w:cs="Arial"/>
                <w:sz w:val="20"/>
              </w:rPr>
              <m:t>S</m:t>
            </m:r>
          </m:e>
          <m:sub>
            <m:r>
              <w:rPr>
                <w:rFonts w:ascii="Cambria Math" w:hAnsi="Cambria Math" w:cs="Arial"/>
                <w:sz w:val="20"/>
              </w:rPr>
              <m:t>jj</m:t>
            </m:r>
          </m:sub>
        </m:sSub>
        <m:r>
          <w:rPr>
            <w:rFonts w:ascii="Cambria Math" w:hAnsi="Cambria Math" w:cs="Arial"/>
            <w:sz w:val="20"/>
          </w:rPr>
          <m:t>)</m:t>
        </m:r>
      </m:oMath>
      <w:r w:rsidRPr="00221DFF">
        <w:rPr>
          <w:rFonts w:eastAsiaTheme="minorEastAsia" w:cs="Arial"/>
          <w:sz w:val="20"/>
        </w:rPr>
        <w:t xml:space="preserve">, where </w:t>
      </w:r>
      <m:oMath>
        <m:sSub>
          <m:sSubPr>
            <m:ctrlPr>
              <w:rPr>
                <w:rFonts w:ascii="Cambria Math" w:hAnsi="Cambria Math" w:cs="Arial"/>
                <w:i/>
                <w:sz w:val="20"/>
              </w:rPr>
            </m:ctrlPr>
          </m:sSubPr>
          <m:e>
            <m:r>
              <w:rPr>
                <w:rFonts w:ascii="Cambria Math" w:hAnsi="Cambria Math" w:cs="Arial"/>
                <w:sz w:val="20"/>
              </w:rPr>
              <m:t>S</m:t>
            </m:r>
          </m:e>
          <m:sub>
            <m:r>
              <w:rPr>
                <w:rFonts w:ascii="Cambria Math" w:hAnsi="Cambria Math" w:cs="Arial"/>
                <w:sz w:val="20"/>
              </w:rPr>
              <m:t>ii</m:t>
            </m:r>
          </m:sub>
        </m:sSub>
      </m:oMath>
      <w:r w:rsidRPr="00221DFF">
        <w:rPr>
          <w:rFonts w:eastAsiaTheme="minorEastAsia" w:cs="Arial"/>
          <w:sz w:val="20"/>
        </w:rPr>
        <w:t xml:space="preserve"> and </w:t>
      </w:r>
      <m:oMath>
        <m:sSub>
          <m:sSubPr>
            <m:ctrlPr>
              <w:rPr>
                <w:rFonts w:ascii="Cambria Math" w:hAnsi="Cambria Math" w:cs="Arial"/>
                <w:i/>
                <w:sz w:val="20"/>
              </w:rPr>
            </m:ctrlPr>
          </m:sSubPr>
          <m:e>
            <m:r>
              <w:rPr>
                <w:rFonts w:ascii="Cambria Math" w:hAnsi="Cambria Math" w:cs="Arial"/>
                <w:sz w:val="20"/>
              </w:rPr>
              <m:t>S</m:t>
            </m:r>
          </m:e>
          <m:sub>
            <m:r>
              <w:rPr>
                <w:rFonts w:ascii="Cambria Math" w:hAnsi="Cambria Math" w:cs="Arial"/>
                <w:sz w:val="20"/>
              </w:rPr>
              <m:t>jj</m:t>
            </m:r>
          </m:sub>
        </m:sSub>
        <m:r>
          <w:rPr>
            <w:rFonts w:ascii="Cambria Math" w:eastAsiaTheme="minorEastAsia" w:hAnsi="Cambria Math" w:cs="Arial"/>
            <w:sz w:val="20"/>
          </w:rPr>
          <m:t xml:space="preserve"> </m:t>
        </m:r>
      </m:oMath>
      <w:r w:rsidRPr="00221DFF">
        <w:rPr>
          <w:rFonts w:eastAsiaTheme="minorEastAsia" w:cs="Arial"/>
          <w:sz w:val="20"/>
        </w:rPr>
        <w:t xml:space="preserve">are self-scores. </w:t>
      </w:r>
    </w:p>
    <w:p w14:paraId="473CD6CB" w14:textId="77777777" w:rsidR="00B54BD8" w:rsidRDefault="00B54BD8" w:rsidP="00FB4547">
      <w:pPr>
        <w:rPr>
          <w:rFonts w:eastAsiaTheme="minorEastAsia" w:cs="Arial"/>
          <w:sz w:val="20"/>
        </w:rPr>
      </w:pPr>
    </w:p>
    <w:p w14:paraId="49BF6D06" w14:textId="77777777" w:rsidR="00B54BD8" w:rsidRPr="00B54BD8" w:rsidRDefault="00B54BD8" w:rsidP="00B54BD8"/>
    <w:p w14:paraId="0CDBE143" w14:textId="77777777" w:rsidR="00FB4547" w:rsidRPr="00221DFF" w:rsidRDefault="00FB4547" w:rsidP="00FB4547">
      <w:pPr>
        <w:rPr>
          <w:rFonts w:eastAsiaTheme="minorEastAsia" w:cs="Arial"/>
          <w:sz w:val="20"/>
        </w:rPr>
      </w:pPr>
      <w:r w:rsidRPr="00221DFF">
        <w:rPr>
          <w:rFonts w:eastAsiaTheme="minorEastAsia" w:cs="Arial"/>
          <w:sz w:val="20"/>
        </w:rPr>
        <w:t>The modified BLAST distance is defined as</w:t>
      </w:r>
    </w:p>
    <w:p w14:paraId="6A5D6ED3" w14:textId="77777777" w:rsidR="00FB4547" w:rsidRPr="00221DFF" w:rsidRDefault="000046FE" w:rsidP="00FB4547">
      <w:pPr>
        <w:jc w:val="center"/>
        <w:rPr>
          <w:rFonts w:eastAsiaTheme="minorEastAsia" w:cs="Arial"/>
          <w:sz w:val="20"/>
        </w:rPr>
      </w:pPr>
      <m:oMath>
        <m:sSubSup>
          <m:sSubSupPr>
            <m:ctrlPr>
              <w:rPr>
                <w:rFonts w:ascii="Cambria Math" w:hAnsi="Cambria Math" w:cs="Arial"/>
                <w:i/>
                <w:sz w:val="20"/>
              </w:rPr>
            </m:ctrlPr>
          </m:sSubSupPr>
          <m:e>
            <m:r>
              <w:rPr>
                <w:rFonts w:ascii="Cambria Math" w:hAnsi="Cambria Math" w:cs="Arial"/>
                <w:sz w:val="20"/>
              </w:rPr>
              <m:t>d</m:t>
            </m:r>
          </m:e>
          <m:sub>
            <m:r>
              <w:rPr>
                <w:rFonts w:ascii="Cambria Math" w:hAnsi="Cambria Math" w:cs="Arial"/>
                <w:sz w:val="20"/>
              </w:rPr>
              <m:t>ij</m:t>
            </m:r>
          </m:sub>
          <m:sup>
            <m:r>
              <m:rPr>
                <m:sty m:val="p"/>
              </m:rPr>
              <w:rPr>
                <w:rFonts w:ascii="Cambria Math" w:hAnsi="Cambria Math" w:cs="Arial"/>
                <w:sz w:val="20"/>
              </w:rPr>
              <m:t>α</m:t>
            </m:r>
          </m:sup>
        </m:sSubSup>
        <m:r>
          <w:rPr>
            <w:rFonts w:ascii="Cambria Math" w:hAnsi="Cambria Math" w:cs="Arial"/>
            <w:sz w:val="20"/>
          </w:rPr>
          <m:t>=1-</m:t>
        </m:r>
        <m:f>
          <m:fPr>
            <m:ctrlPr>
              <w:rPr>
                <w:rFonts w:ascii="Cambria Math" w:hAnsi="Cambria Math" w:cs="Arial"/>
                <w:i/>
                <w:sz w:val="20"/>
              </w:rPr>
            </m:ctrlPr>
          </m:fPr>
          <m:num>
            <m:sSub>
              <m:sSubPr>
                <m:ctrlPr>
                  <w:rPr>
                    <w:rFonts w:ascii="Cambria Math" w:hAnsi="Cambria Math" w:cs="Arial"/>
                    <w:i/>
                    <w:sz w:val="20"/>
                  </w:rPr>
                </m:ctrlPr>
              </m:sSubPr>
              <m:e>
                <m:r>
                  <w:rPr>
                    <w:rFonts w:ascii="Cambria Math" w:hAnsi="Cambria Math" w:cs="Arial"/>
                    <w:sz w:val="20"/>
                  </w:rPr>
                  <m:t>S</m:t>
                </m:r>
              </m:e>
              <m:sub>
                <m:r>
                  <w:rPr>
                    <w:rFonts w:ascii="Cambria Math" w:hAnsi="Cambria Math" w:cs="Arial"/>
                    <w:sz w:val="20"/>
                  </w:rPr>
                  <m:t>ij</m:t>
                </m:r>
              </m:sub>
            </m:sSub>
          </m:num>
          <m:den>
            <m:func>
              <m:funcPr>
                <m:ctrlPr>
                  <w:rPr>
                    <w:rFonts w:ascii="Cambria Math" w:hAnsi="Cambria Math" w:cs="Arial"/>
                    <w:sz w:val="20"/>
                  </w:rPr>
                </m:ctrlPr>
              </m:funcPr>
              <m:fName>
                <m:r>
                  <m:rPr>
                    <m:sty m:val="p"/>
                  </m:rPr>
                  <w:rPr>
                    <w:rFonts w:ascii="Cambria Math" w:hAnsi="Cambria Math" w:cs="Arial"/>
                    <w:sz w:val="20"/>
                  </w:rPr>
                  <m:t>max</m:t>
                </m:r>
              </m:fName>
              <m:e>
                <m:d>
                  <m:dPr>
                    <m:ctrlPr>
                      <w:rPr>
                        <w:rFonts w:ascii="Cambria Math" w:hAnsi="Cambria Math" w:cs="Arial"/>
                        <w:i/>
                        <w:sz w:val="20"/>
                      </w:rPr>
                    </m:ctrlPr>
                  </m:dPr>
                  <m:e>
                    <m:sSubSup>
                      <m:sSubSupPr>
                        <m:ctrlPr>
                          <w:rPr>
                            <w:rFonts w:ascii="Cambria Math" w:hAnsi="Cambria Math" w:cs="Arial"/>
                            <w:i/>
                            <w:sz w:val="20"/>
                          </w:rPr>
                        </m:ctrlPr>
                      </m:sSubSupPr>
                      <m:e>
                        <m:r>
                          <w:rPr>
                            <w:rFonts w:ascii="Cambria Math" w:hAnsi="Cambria Math" w:cs="Arial"/>
                            <w:sz w:val="20"/>
                          </w:rPr>
                          <m:t>χ</m:t>
                        </m:r>
                      </m:e>
                      <m:sub>
                        <m:r>
                          <w:rPr>
                            <w:rFonts w:ascii="Cambria Math" w:hAnsi="Cambria Math" w:cs="Arial"/>
                            <w:sz w:val="20"/>
                          </w:rPr>
                          <m:t>ij</m:t>
                        </m:r>
                      </m:sub>
                      <m:sup>
                        <m:r>
                          <w:rPr>
                            <w:rFonts w:ascii="Cambria Math" w:hAnsi="Cambria Math" w:cs="Arial"/>
                            <w:sz w:val="20"/>
                          </w:rPr>
                          <m:t>(1)</m:t>
                        </m:r>
                      </m:sup>
                    </m:sSubSup>
                    <m:sSub>
                      <m:sSubPr>
                        <m:ctrlPr>
                          <w:rPr>
                            <w:rFonts w:ascii="Cambria Math" w:hAnsi="Cambria Math" w:cs="Arial"/>
                            <w:i/>
                            <w:sz w:val="20"/>
                          </w:rPr>
                        </m:ctrlPr>
                      </m:sSubPr>
                      <m:e>
                        <m:r>
                          <w:rPr>
                            <w:rFonts w:ascii="Cambria Math" w:hAnsi="Cambria Math" w:cs="Arial"/>
                            <w:sz w:val="20"/>
                          </w:rPr>
                          <m:t>∙S</m:t>
                        </m:r>
                      </m:e>
                      <m:sub>
                        <m:r>
                          <w:rPr>
                            <w:rFonts w:ascii="Cambria Math" w:hAnsi="Cambria Math" w:cs="Arial"/>
                            <w:sz w:val="20"/>
                          </w:rPr>
                          <m:t>ii</m:t>
                        </m:r>
                      </m:sub>
                    </m:sSub>
                    <m:r>
                      <w:rPr>
                        <w:rFonts w:ascii="Cambria Math" w:hAnsi="Cambria Math" w:cs="Arial"/>
                        <w:sz w:val="20"/>
                      </w:rPr>
                      <m:t xml:space="preserve">, </m:t>
                    </m:r>
                    <m:sSub>
                      <m:sSubPr>
                        <m:ctrlPr>
                          <w:rPr>
                            <w:rFonts w:ascii="Cambria Math" w:hAnsi="Cambria Math" w:cs="Arial"/>
                            <w:i/>
                            <w:sz w:val="20"/>
                          </w:rPr>
                        </m:ctrlPr>
                      </m:sSubPr>
                      <m:e>
                        <m:r>
                          <w:rPr>
                            <w:rFonts w:ascii="Cambria Math" w:hAnsi="Cambria Math" w:cs="Arial"/>
                            <w:sz w:val="20"/>
                          </w:rPr>
                          <m:t xml:space="preserve">  </m:t>
                        </m:r>
                        <m:sSubSup>
                          <m:sSubSupPr>
                            <m:ctrlPr>
                              <w:rPr>
                                <w:rFonts w:ascii="Cambria Math" w:hAnsi="Cambria Math" w:cs="Arial"/>
                                <w:i/>
                                <w:sz w:val="20"/>
                              </w:rPr>
                            </m:ctrlPr>
                          </m:sSubSupPr>
                          <m:e>
                            <m:r>
                              <w:rPr>
                                <w:rFonts w:ascii="Cambria Math" w:hAnsi="Cambria Math" w:cs="Arial"/>
                                <w:sz w:val="20"/>
                              </w:rPr>
                              <m:t>χ</m:t>
                            </m:r>
                          </m:e>
                          <m:sub>
                            <m:r>
                              <w:rPr>
                                <w:rFonts w:ascii="Cambria Math" w:hAnsi="Cambria Math" w:cs="Arial"/>
                                <w:sz w:val="20"/>
                              </w:rPr>
                              <m:t>ij</m:t>
                            </m:r>
                          </m:sub>
                          <m:sup>
                            <m:d>
                              <m:dPr>
                                <m:ctrlPr>
                                  <w:rPr>
                                    <w:rFonts w:ascii="Cambria Math" w:hAnsi="Cambria Math" w:cs="Arial"/>
                                    <w:i/>
                                    <w:sz w:val="20"/>
                                  </w:rPr>
                                </m:ctrlPr>
                              </m:dPr>
                              <m:e>
                                <m:r>
                                  <w:rPr>
                                    <w:rFonts w:ascii="Cambria Math" w:hAnsi="Cambria Math" w:cs="Arial"/>
                                    <w:sz w:val="20"/>
                                  </w:rPr>
                                  <m:t>2</m:t>
                                </m:r>
                              </m:e>
                            </m:d>
                          </m:sup>
                        </m:sSubSup>
                        <m:r>
                          <w:rPr>
                            <w:rFonts w:ascii="Cambria Math" w:hAnsi="Cambria Math" w:cs="Arial"/>
                            <w:sz w:val="20"/>
                          </w:rPr>
                          <m:t>∙S</m:t>
                        </m:r>
                      </m:e>
                      <m:sub>
                        <m:r>
                          <w:rPr>
                            <w:rFonts w:ascii="Cambria Math" w:hAnsi="Cambria Math" w:cs="Arial"/>
                            <w:sz w:val="20"/>
                          </w:rPr>
                          <m:t>jj</m:t>
                        </m:r>
                      </m:sub>
                    </m:sSub>
                    <m:r>
                      <w:rPr>
                        <w:rFonts w:ascii="Cambria Math" w:hAnsi="Cambria Math" w:cs="Arial"/>
                        <w:sz w:val="20"/>
                      </w:rPr>
                      <m:t xml:space="preserve">,  </m:t>
                    </m:r>
                    <m:sSub>
                      <m:sSubPr>
                        <m:ctrlPr>
                          <w:rPr>
                            <w:rFonts w:ascii="Cambria Math" w:hAnsi="Cambria Math" w:cs="Arial"/>
                            <w:i/>
                            <w:sz w:val="20"/>
                          </w:rPr>
                        </m:ctrlPr>
                      </m:sSubPr>
                      <m:e>
                        <m:r>
                          <w:rPr>
                            <w:rFonts w:ascii="Cambria Math" w:hAnsi="Cambria Math" w:cs="Arial"/>
                            <w:sz w:val="20"/>
                          </w:rPr>
                          <m:t xml:space="preserve"> S</m:t>
                        </m:r>
                      </m:e>
                      <m:sub>
                        <m:r>
                          <w:rPr>
                            <w:rFonts w:ascii="Cambria Math" w:hAnsi="Cambria Math" w:cs="Arial"/>
                            <w:sz w:val="20"/>
                          </w:rPr>
                          <m:t>ij</m:t>
                        </m:r>
                      </m:sub>
                    </m:sSub>
                    <m:r>
                      <w:rPr>
                        <w:rFonts w:ascii="Cambria Math" w:hAnsi="Cambria Math" w:cs="Arial"/>
                        <w:sz w:val="20"/>
                      </w:rPr>
                      <m:t xml:space="preserve"> </m:t>
                    </m:r>
                  </m:e>
                </m:d>
              </m:e>
            </m:func>
          </m:den>
        </m:f>
      </m:oMath>
      <w:r w:rsidR="00FB4547" w:rsidRPr="00221DFF">
        <w:rPr>
          <w:rFonts w:eastAsiaTheme="minorEastAsia" w:cs="Arial"/>
          <w:sz w:val="20"/>
        </w:rPr>
        <w:t>,</w:t>
      </w:r>
    </w:p>
    <w:p w14:paraId="1D718A4B" w14:textId="0F797424" w:rsidR="00FB4547" w:rsidRDefault="00FB4547" w:rsidP="00FB4547">
      <w:pPr>
        <w:rPr>
          <w:rFonts w:eastAsiaTheme="minorEastAsia" w:cs="Arial"/>
          <w:sz w:val="20"/>
        </w:rPr>
      </w:pPr>
      <w:r w:rsidRPr="00221DFF">
        <w:rPr>
          <w:rFonts w:eastAsiaTheme="minorEastAsia" w:cs="Arial"/>
          <w:sz w:val="20"/>
        </w:rPr>
        <w:t xml:space="preserve"> where the score modification</w:t>
      </w:r>
      <w:r w:rsidR="007716A8">
        <w:rPr>
          <w:rFonts w:eastAsiaTheme="minorEastAsia" w:cs="Arial"/>
          <w:sz w:val="20"/>
        </w:rPr>
        <w:t>s</w:t>
      </w:r>
      <w:r w:rsidRPr="00221DFF">
        <w:rPr>
          <w:rFonts w:eastAsiaTheme="minorEastAsia" w:cs="Arial"/>
          <w:sz w:val="20"/>
        </w:rPr>
        <w:t xml:space="preserve"> are </w:t>
      </w:r>
      <m:oMath>
        <m:sSubSup>
          <m:sSubSupPr>
            <m:ctrlPr>
              <w:rPr>
                <w:rFonts w:ascii="Cambria Math" w:hAnsi="Cambria Math" w:cs="Arial"/>
                <w:i/>
                <w:sz w:val="20"/>
              </w:rPr>
            </m:ctrlPr>
          </m:sSubSupPr>
          <m:e>
            <m:r>
              <w:rPr>
                <w:rFonts w:ascii="Cambria Math" w:hAnsi="Cambria Math" w:cs="Arial"/>
                <w:sz w:val="20"/>
              </w:rPr>
              <m:t>χ</m:t>
            </m:r>
          </m:e>
          <m:sub>
            <m:r>
              <w:rPr>
                <w:rFonts w:ascii="Cambria Math" w:hAnsi="Cambria Math" w:cs="Arial"/>
                <w:sz w:val="20"/>
              </w:rPr>
              <m:t>ij</m:t>
            </m:r>
          </m:sub>
          <m:sup>
            <m:r>
              <w:rPr>
                <w:rFonts w:ascii="Cambria Math" w:hAnsi="Cambria Math" w:cs="Arial"/>
                <w:sz w:val="20"/>
              </w:rPr>
              <m:t>(1)</m:t>
            </m:r>
          </m:sup>
        </m:sSubSup>
        <m:r>
          <w:rPr>
            <w:rFonts w:ascii="Cambria Math" w:hAnsi="Cambria Math" w:cs="Arial"/>
            <w:sz w:val="20"/>
          </w:rPr>
          <m:t>=</m:t>
        </m:r>
        <m:r>
          <m:rPr>
            <m:sty m:val="p"/>
          </m:rPr>
          <w:rPr>
            <w:rFonts w:ascii="Cambria Math" w:hAnsi="Cambria Math" w:cs="Arial"/>
            <w:sz w:val="20"/>
          </w:rPr>
          <m:t>max⁡</m:t>
        </m:r>
        <m:r>
          <w:rPr>
            <w:rFonts w:ascii="Cambria Math" w:hAnsi="Cambria Math" w:cs="Arial"/>
            <w:sz w:val="20"/>
          </w:rPr>
          <m:t>(</m:t>
        </m:r>
        <m:f>
          <m:fPr>
            <m:ctrlPr>
              <w:rPr>
                <w:rFonts w:ascii="Cambria Math" w:eastAsiaTheme="minorEastAsia" w:hAnsi="Cambria Math" w:cs="Arial"/>
                <w:i/>
                <w:sz w:val="20"/>
              </w:rPr>
            </m:ctrlPr>
          </m:fPr>
          <m:num>
            <m:sSubSup>
              <m:sSubSupPr>
                <m:ctrlPr>
                  <w:rPr>
                    <w:rFonts w:ascii="Cambria Math" w:eastAsiaTheme="minorEastAsia" w:hAnsi="Cambria Math" w:cs="Arial"/>
                    <w:i/>
                    <w:sz w:val="20"/>
                  </w:rPr>
                </m:ctrlPr>
              </m:sSubSupPr>
              <m:e>
                <m:r>
                  <w:rPr>
                    <w:rFonts w:ascii="Cambria Math" w:eastAsiaTheme="minorEastAsia" w:hAnsi="Cambria Math" w:cs="Arial"/>
                    <w:sz w:val="20"/>
                  </w:rPr>
                  <m:t>l</m:t>
                </m:r>
              </m:e>
              <m:sub>
                <m:r>
                  <w:rPr>
                    <w:rFonts w:ascii="Cambria Math" w:eastAsiaTheme="minorEastAsia" w:hAnsi="Cambria Math" w:cs="Arial"/>
                    <w:sz w:val="20"/>
                  </w:rPr>
                  <m:t>ij</m:t>
                </m:r>
              </m:sub>
              <m:sup>
                <m:r>
                  <w:rPr>
                    <w:rFonts w:ascii="Cambria Math" w:eastAsiaTheme="minorEastAsia" w:hAnsi="Cambria Math" w:cs="Arial"/>
                    <w:sz w:val="20"/>
                  </w:rPr>
                  <m:t>(1)</m:t>
                </m:r>
              </m:sup>
            </m:sSubSup>
          </m:num>
          <m:den>
            <m:sSub>
              <m:sSubPr>
                <m:ctrlPr>
                  <w:rPr>
                    <w:rFonts w:ascii="Cambria Math" w:hAnsi="Cambria Math" w:cs="Arial"/>
                    <w:i/>
                    <w:sz w:val="20"/>
                  </w:rPr>
                </m:ctrlPr>
              </m:sSubPr>
              <m:e>
                <m:r>
                  <w:rPr>
                    <w:rFonts w:ascii="Cambria Math" w:hAnsi="Cambria Math" w:cs="Arial"/>
                    <w:sz w:val="20"/>
                  </w:rPr>
                  <m:t>l</m:t>
                </m:r>
              </m:e>
              <m:sub>
                <m:r>
                  <w:rPr>
                    <w:rFonts w:ascii="Cambria Math" w:hAnsi="Cambria Math" w:cs="Arial"/>
                    <w:sz w:val="20"/>
                  </w:rPr>
                  <m:t>i</m:t>
                </m:r>
              </m:sub>
            </m:sSub>
          </m:den>
        </m:f>
      </m:oMath>
      <w:r w:rsidRPr="00221DFF">
        <w:rPr>
          <w:rFonts w:eastAsiaTheme="minorEastAsia" w:cs="Arial"/>
          <w:sz w:val="20"/>
        </w:rPr>
        <w:t>, 1-</w:t>
      </w:r>
      <m:oMath>
        <m:r>
          <w:rPr>
            <w:rFonts w:ascii="Cambria Math" w:eastAsiaTheme="minorEastAsia" w:hAnsi="Cambria Math" w:cs="Arial"/>
            <w:sz w:val="20"/>
          </w:rPr>
          <m:t>α)</m:t>
        </m:r>
      </m:oMath>
      <w:r w:rsidRPr="00221DFF">
        <w:rPr>
          <w:rFonts w:eastAsiaTheme="minorEastAsia" w:cs="Arial"/>
          <w:sz w:val="20"/>
        </w:rPr>
        <w:t xml:space="preserve"> and </w:t>
      </w:r>
      <m:oMath>
        <m:sSubSup>
          <m:sSubSupPr>
            <m:ctrlPr>
              <w:rPr>
                <w:rFonts w:ascii="Cambria Math" w:hAnsi="Cambria Math" w:cs="Arial"/>
                <w:i/>
                <w:sz w:val="20"/>
              </w:rPr>
            </m:ctrlPr>
          </m:sSubSupPr>
          <m:e>
            <m:r>
              <w:rPr>
                <w:rFonts w:ascii="Cambria Math" w:hAnsi="Cambria Math" w:cs="Arial"/>
                <w:sz w:val="20"/>
              </w:rPr>
              <m:t>χ</m:t>
            </m:r>
          </m:e>
          <m:sub>
            <m:r>
              <w:rPr>
                <w:rFonts w:ascii="Cambria Math" w:hAnsi="Cambria Math" w:cs="Arial"/>
                <w:sz w:val="20"/>
              </w:rPr>
              <m:t>ij</m:t>
            </m:r>
          </m:sub>
          <m:sup>
            <m:r>
              <w:rPr>
                <w:rFonts w:ascii="Cambria Math" w:hAnsi="Cambria Math" w:cs="Arial"/>
                <w:sz w:val="20"/>
              </w:rPr>
              <m:t>(2)</m:t>
            </m:r>
          </m:sup>
        </m:sSubSup>
        <m:r>
          <w:rPr>
            <w:rFonts w:ascii="Cambria Math" w:hAnsi="Cambria Math" w:cs="Arial"/>
            <w:sz w:val="20"/>
          </w:rPr>
          <m:t>=</m:t>
        </m:r>
        <m:r>
          <m:rPr>
            <m:sty m:val="p"/>
          </m:rPr>
          <w:rPr>
            <w:rFonts w:ascii="Cambria Math" w:hAnsi="Cambria Math" w:cs="Arial"/>
            <w:sz w:val="20"/>
          </w:rPr>
          <m:t>max⁡</m:t>
        </m:r>
        <m:r>
          <w:rPr>
            <w:rFonts w:ascii="Cambria Math" w:hAnsi="Cambria Math" w:cs="Arial"/>
            <w:sz w:val="20"/>
          </w:rPr>
          <m:t>(</m:t>
        </m:r>
        <m:f>
          <m:fPr>
            <m:ctrlPr>
              <w:rPr>
                <w:rFonts w:ascii="Cambria Math" w:eastAsiaTheme="minorEastAsia" w:hAnsi="Cambria Math" w:cs="Arial"/>
                <w:i/>
                <w:sz w:val="20"/>
              </w:rPr>
            </m:ctrlPr>
          </m:fPr>
          <m:num>
            <m:sSubSup>
              <m:sSubSupPr>
                <m:ctrlPr>
                  <w:rPr>
                    <w:rFonts w:ascii="Cambria Math" w:eastAsiaTheme="minorEastAsia" w:hAnsi="Cambria Math" w:cs="Arial"/>
                    <w:i/>
                    <w:sz w:val="20"/>
                  </w:rPr>
                </m:ctrlPr>
              </m:sSubSupPr>
              <m:e>
                <m:r>
                  <w:rPr>
                    <w:rFonts w:ascii="Cambria Math" w:eastAsiaTheme="minorEastAsia" w:hAnsi="Cambria Math" w:cs="Arial"/>
                    <w:sz w:val="20"/>
                  </w:rPr>
                  <m:t>l</m:t>
                </m:r>
              </m:e>
              <m:sub>
                <m:r>
                  <w:rPr>
                    <w:rFonts w:ascii="Cambria Math" w:eastAsiaTheme="minorEastAsia" w:hAnsi="Cambria Math" w:cs="Arial"/>
                    <w:sz w:val="20"/>
                  </w:rPr>
                  <m:t>ij</m:t>
                </m:r>
              </m:sub>
              <m:sup>
                <m:r>
                  <w:rPr>
                    <w:rFonts w:ascii="Cambria Math" w:eastAsiaTheme="minorEastAsia" w:hAnsi="Cambria Math" w:cs="Arial"/>
                    <w:sz w:val="20"/>
                  </w:rPr>
                  <m:t>(2)</m:t>
                </m:r>
              </m:sup>
            </m:sSubSup>
          </m:num>
          <m:den>
            <m:sSub>
              <m:sSubPr>
                <m:ctrlPr>
                  <w:rPr>
                    <w:rFonts w:ascii="Cambria Math" w:hAnsi="Cambria Math" w:cs="Arial"/>
                    <w:i/>
                    <w:sz w:val="20"/>
                  </w:rPr>
                </m:ctrlPr>
              </m:sSubPr>
              <m:e>
                <m:r>
                  <w:rPr>
                    <w:rFonts w:ascii="Cambria Math" w:hAnsi="Cambria Math" w:cs="Arial"/>
                    <w:sz w:val="20"/>
                  </w:rPr>
                  <m:t>l</m:t>
                </m:r>
              </m:e>
              <m:sub>
                <m:r>
                  <w:rPr>
                    <w:rFonts w:ascii="Cambria Math" w:hAnsi="Cambria Math" w:cs="Arial"/>
                    <w:sz w:val="20"/>
                  </w:rPr>
                  <m:t>i</m:t>
                </m:r>
              </m:sub>
            </m:sSub>
          </m:den>
        </m:f>
      </m:oMath>
      <w:r w:rsidRPr="00221DFF">
        <w:rPr>
          <w:rFonts w:eastAsiaTheme="minorEastAsia" w:cs="Arial"/>
          <w:sz w:val="20"/>
        </w:rPr>
        <w:t>, 1-</w:t>
      </w:r>
      <m:oMath>
        <m:r>
          <w:rPr>
            <w:rFonts w:ascii="Cambria Math" w:eastAsiaTheme="minorEastAsia" w:hAnsi="Cambria Math" w:cs="Arial"/>
            <w:sz w:val="20"/>
          </w:rPr>
          <m:t>α)</m:t>
        </m:r>
      </m:oMath>
      <w:r w:rsidRPr="00221DFF">
        <w:rPr>
          <w:rFonts w:eastAsiaTheme="minorEastAsia" w:cs="Arial"/>
          <w:sz w:val="20"/>
        </w:rPr>
        <w:t xml:space="preserve">, and </w:t>
      </w:r>
      <m:oMath>
        <m:r>
          <w:rPr>
            <w:rFonts w:ascii="Cambria Math" w:eastAsiaTheme="minorEastAsia" w:hAnsi="Cambria Math" w:cs="Arial"/>
            <w:sz w:val="20"/>
          </w:rPr>
          <m:t>0&lt;α≪1.</m:t>
        </m:r>
      </m:oMath>
      <w:r w:rsidRPr="00221DFF">
        <w:rPr>
          <w:rFonts w:eastAsiaTheme="minorEastAsia" w:cs="Arial"/>
          <w:sz w:val="20"/>
        </w:rPr>
        <w:t xml:space="preserve"> Using </w:t>
      </w:r>
      <m:oMath>
        <m:r>
          <w:rPr>
            <w:rFonts w:ascii="Cambria Math" w:eastAsiaTheme="minorEastAsia" w:hAnsi="Cambria Math" w:cs="Arial"/>
            <w:sz w:val="20"/>
          </w:rPr>
          <m:t>α&gt;0</m:t>
        </m:r>
      </m:oMath>
      <w:r w:rsidRPr="00221DFF">
        <w:rPr>
          <w:rFonts w:cs="Arial"/>
          <w:sz w:val="20"/>
        </w:rPr>
        <w:t xml:space="preserve"> allows some flexibility at the end of the sequences (t</w:t>
      </w:r>
      <w:r w:rsidRPr="00221DFF">
        <w:rPr>
          <w:rFonts w:eastAsiaTheme="minorEastAsia" w:cs="Arial"/>
          <w:sz w:val="20"/>
        </w:rPr>
        <w:t xml:space="preserve">he distance is reduced to </w:t>
      </w:r>
      <m:oMath>
        <m:sSubSup>
          <m:sSubSupPr>
            <m:ctrlPr>
              <w:rPr>
                <w:rFonts w:ascii="Cambria Math" w:hAnsi="Cambria Math" w:cs="Arial"/>
                <w:i/>
                <w:sz w:val="20"/>
              </w:rPr>
            </m:ctrlPr>
          </m:sSubSupPr>
          <m:e>
            <m:r>
              <w:rPr>
                <w:rFonts w:ascii="Cambria Math" w:hAnsi="Cambria Math" w:cs="Arial"/>
                <w:sz w:val="20"/>
              </w:rPr>
              <m:t>d</m:t>
            </m:r>
          </m:e>
          <m:sub>
            <m:r>
              <w:rPr>
                <w:rFonts w:ascii="Cambria Math" w:hAnsi="Cambria Math" w:cs="Arial"/>
                <w:sz w:val="20"/>
              </w:rPr>
              <m:t>ij</m:t>
            </m:r>
          </m:sub>
          <m:sup>
            <m:r>
              <m:rPr>
                <m:sty m:val="p"/>
              </m:rPr>
              <w:rPr>
                <w:rFonts w:ascii="Cambria Math" w:hAnsi="Cambria Math" w:cs="Arial"/>
                <w:sz w:val="20"/>
              </w:rPr>
              <m:t>0</m:t>
            </m:r>
          </m:sup>
        </m:sSubSup>
        <m:r>
          <w:rPr>
            <w:rFonts w:ascii="Cambria Math" w:hAnsi="Cambria Math" w:cs="Arial"/>
            <w:sz w:val="20"/>
          </w:rPr>
          <m:t xml:space="preserve">=1- </m:t>
        </m:r>
        <m:f>
          <m:fPr>
            <m:ctrlPr>
              <w:rPr>
                <w:rFonts w:ascii="Cambria Math" w:hAnsi="Cambria Math" w:cs="Arial"/>
                <w:i/>
                <w:sz w:val="20"/>
              </w:rPr>
            </m:ctrlPr>
          </m:fPr>
          <m:num>
            <m:sSub>
              <m:sSubPr>
                <m:ctrlPr>
                  <w:rPr>
                    <w:rFonts w:ascii="Cambria Math" w:hAnsi="Cambria Math" w:cs="Arial"/>
                    <w:i/>
                    <w:sz w:val="20"/>
                  </w:rPr>
                </m:ctrlPr>
              </m:sSubPr>
              <m:e>
                <m:r>
                  <w:rPr>
                    <w:rFonts w:ascii="Cambria Math" w:hAnsi="Cambria Math" w:cs="Arial"/>
                    <w:sz w:val="20"/>
                  </w:rPr>
                  <m:t>S</m:t>
                </m:r>
              </m:e>
              <m:sub>
                <m:r>
                  <w:rPr>
                    <w:rFonts w:ascii="Cambria Math" w:hAnsi="Cambria Math" w:cs="Arial"/>
                    <w:sz w:val="20"/>
                  </w:rPr>
                  <m:t>ij</m:t>
                </m:r>
              </m:sub>
            </m:sSub>
          </m:num>
          <m:den>
            <m:r>
              <m:rPr>
                <m:sty m:val="p"/>
              </m:rPr>
              <w:rPr>
                <w:rFonts w:ascii="Cambria Math" w:hAnsi="Cambria Math" w:cs="Arial"/>
                <w:sz w:val="20"/>
              </w:rPr>
              <m:t>max⁡</m:t>
            </m:r>
            <m:r>
              <w:rPr>
                <w:rFonts w:ascii="Cambria Math" w:hAnsi="Cambria Math" w:cs="Arial"/>
                <w:sz w:val="20"/>
              </w:rPr>
              <m:t>(</m:t>
            </m:r>
            <m:sSub>
              <m:sSubPr>
                <m:ctrlPr>
                  <w:rPr>
                    <w:rFonts w:ascii="Cambria Math" w:hAnsi="Cambria Math" w:cs="Arial"/>
                    <w:i/>
                    <w:sz w:val="20"/>
                  </w:rPr>
                </m:ctrlPr>
              </m:sSubPr>
              <m:e>
                <m:r>
                  <w:rPr>
                    <w:rFonts w:ascii="Cambria Math" w:hAnsi="Cambria Math" w:cs="Arial"/>
                    <w:sz w:val="20"/>
                  </w:rPr>
                  <m:t>S</m:t>
                </m:r>
              </m:e>
              <m:sub>
                <m:r>
                  <w:rPr>
                    <w:rFonts w:ascii="Cambria Math" w:hAnsi="Cambria Math" w:cs="Arial"/>
                    <w:sz w:val="20"/>
                  </w:rPr>
                  <m:t>ii</m:t>
                </m:r>
              </m:sub>
            </m:sSub>
            <m:r>
              <w:rPr>
                <w:rFonts w:ascii="Cambria Math" w:hAnsi="Cambria Math" w:cs="Arial"/>
                <w:sz w:val="20"/>
              </w:rPr>
              <m:t xml:space="preserve">, </m:t>
            </m:r>
            <m:sSub>
              <m:sSubPr>
                <m:ctrlPr>
                  <w:rPr>
                    <w:rFonts w:ascii="Cambria Math" w:hAnsi="Cambria Math" w:cs="Arial"/>
                    <w:i/>
                    <w:sz w:val="20"/>
                  </w:rPr>
                </m:ctrlPr>
              </m:sSubPr>
              <m:e>
                <m:r>
                  <w:rPr>
                    <w:rFonts w:ascii="Cambria Math" w:hAnsi="Cambria Math" w:cs="Arial"/>
                    <w:sz w:val="20"/>
                  </w:rPr>
                  <m:t>S</m:t>
                </m:r>
              </m:e>
              <m:sub>
                <m:r>
                  <w:rPr>
                    <w:rFonts w:ascii="Cambria Math" w:hAnsi="Cambria Math" w:cs="Arial"/>
                    <w:sz w:val="20"/>
                  </w:rPr>
                  <m:t>jj</m:t>
                </m:r>
              </m:sub>
            </m:sSub>
            <m:r>
              <w:rPr>
                <w:rFonts w:ascii="Cambria Math" w:hAnsi="Cambria Math" w:cs="Arial"/>
                <w:sz w:val="20"/>
              </w:rPr>
              <m:t>)</m:t>
            </m:r>
          </m:den>
        </m:f>
      </m:oMath>
      <w:r w:rsidRPr="00221DFF">
        <w:rPr>
          <w:rFonts w:eastAsiaTheme="minorEastAsia" w:cs="Arial"/>
          <w:sz w:val="20"/>
        </w:rPr>
        <w:t xml:space="preserve"> when </w:t>
      </w:r>
      <m:oMath>
        <m:r>
          <w:rPr>
            <w:rFonts w:ascii="Cambria Math" w:eastAsiaTheme="minorEastAsia" w:hAnsi="Cambria Math" w:cs="Arial"/>
            <w:sz w:val="20"/>
          </w:rPr>
          <m:t>α=0</m:t>
        </m:r>
      </m:oMath>
      <w:r w:rsidRPr="00221DFF">
        <w:rPr>
          <w:rFonts w:eastAsiaTheme="minorEastAsia" w:cs="Arial"/>
          <w:sz w:val="20"/>
        </w:rPr>
        <w:t xml:space="preserve">). Clusters are aggregated in a hierarchical manner using the complete linkage distance, with an additional requirement that the minimum distance between clusters </w:t>
      </w:r>
      <m:oMath>
        <m:sSup>
          <m:sSupPr>
            <m:ctrlPr>
              <w:rPr>
                <w:rFonts w:ascii="Cambria Math" w:eastAsiaTheme="minorEastAsia" w:hAnsi="Cambria Math" w:cs="Arial"/>
                <w:i/>
                <w:sz w:val="20"/>
              </w:rPr>
            </m:ctrlPr>
          </m:sSupPr>
          <m:e>
            <m:r>
              <w:rPr>
                <w:rFonts w:ascii="Cambria Math" w:eastAsiaTheme="minorEastAsia" w:hAnsi="Cambria Math" w:cs="Arial"/>
                <w:sz w:val="20"/>
              </w:rPr>
              <m:t>d</m:t>
            </m:r>
          </m:e>
          <m:sup>
            <m:r>
              <m:rPr>
                <m:sty m:val="p"/>
              </m:rPr>
              <w:rPr>
                <w:rFonts w:ascii="Cambria Math" w:eastAsiaTheme="minorEastAsia" w:hAnsi="Cambria Math" w:cs="Arial"/>
                <w:sz w:val="20"/>
              </w:rPr>
              <m:t>min</m:t>
            </m:r>
          </m:sup>
        </m:sSup>
        <m:r>
          <w:rPr>
            <w:rFonts w:ascii="Cambria Math" w:eastAsiaTheme="minorEastAsia" w:hAnsi="Cambria Math" w:cs="Arial"/>
            <w:sz w:val="20"/>
          </w:rPr>
          <m:t>(</m:t>
        </m:r>
        <m:r>
          <m:rPr>
            <m:sty m:val="p"/>
          </m:rPr>
          <w:rPr>
            <w:rFonts w:ascii="Cambria Math" w:eastAsiaTheme="minorEastAsia" w:hAnsi="Cambria Math" w:cs="Arial"/>
            <w:sz w:val="20"/>
          </w:rPr>
          <m:t xml:space="preserve">Λ, </m:t>
        </m:r>
      </m:oMath>
      <w:r w:rsidRPr="00221DFF">
        <w:rPr>
          <w:rFonts w:eastAsiaTheme="minorEastAsia" w:cs="Arial"/>
          <w:sz w:val="20"/>
        </w:rPr>
        <w:t xml:space="preserve">Ω) should not exceed threshold  </w:t>
      </w:r>
      <m:oMath>
        <m:r>
          <w:rPr>
            <w:rFonts w:ascii="Cambria Math" w:eastAsiaTheme="minorEastAsia" w:hAnsi="Cambria Math" w:cs="Arial"/>
            <w:sz w:val="20"/>
          </w:rPr>
          <m:t>δ,</m:t>
        </m:r>
      </m:oMath>
      <w:r w:rsidRPr="00221DFF">
        <w:rPr>
          <w:rFonts w:eastAsiaTheme="minorEastAsia" w:cs="Arial"/>
          <w:sz w:val="20"/>
        </w:rPr>
        <w:t xml:space="preserve"> where </w:t>
      </w:r>
      <m:oMath>
        <m:r>
          <w:rPr>
            <w:rFonts w:ascii="Cambria Math" w:eastAsiaTheme="minorEastAsia" w:hAnsi="Cambria Math" w:cs="Arial"/>
            <w:sz w:val="20"/>
          </w:rPr>
          <m:t xml:space="preserve">0&lt;δ&lt;1-γ, </m:t>
        </m:r>
      </m:oMath>
      <w:r w:rsidRPr="00221DFF">
        <w:rPr>
          <w:rFonts w:eastAsiaTheme="minorEastAsia" w:cs="Arial"/>
          <w:sz w:val="20"/>
        </w:rPr>
        <w:t xml:space="preserve">for clusters </w:t>
      </w:r>
      <m:oMath>
        <m:r>
          <m:rPr>
            <m:sty m:val="p"/>
          </m:rPr>
          <w:rPr>
            <w:rFonts w:ascii="Cambria Math" w:eastAsiaTheme="minorEastAsia" w:hAnsi="Cambria Math" w:cs="Arial"/>
            <w:sz w:val="20"/>
          </w:rPr>
          <m:t>Λ</m:t>
        </m:r>
      </m:oMath>
      <w:r w:rsidRPr="00221DFF">
        <w:rPr>
          <w:rFonts w:eastAsiaTheme="minorEastAsia" w:cs="Arial"/>
          <w:sz w:val="20"/>
        </w:rPr>
        <w:t xml:space="preserve"> and Ω to be merged. Note that we calculate and use both </w:t>
      </w:r>
      <m:oMath>
        <m:sSup>
          <m:sSupPr>
            <m:ctrlPr>
              <w:rPr>
                <w:rFonts w:ascii="Cambria Math" w:eastAsiaTheme="minorEastAsia" w:hAnsi="Cambria Math" w:cs="Arial"/>
                <w:i/>
                <w:sz w:val="20"/>
              </w:rPr>
            </m:ctrlPr>
          </m:sSupPr>
          <m:e>
            <m:r>
              <w:rPr>
                <w:rFonts w:ascii="Cambria Math" w:eastAsiaTheme="minorEastAsia" w:hAnsi="Cambria Math" w:cs="Arial"/>
                <w:sz w:val="20"/>
              </w:rPr>
              <m:t>d</m:t>
            </m:r>
          </m:e>
          <m:sup>
            <m:r>
              <m:rPr>
                <m:sty m:val="p"/>
              </m:rPr>
              <w:rPr>
                <w:rFonts w:ascii="Cambria Math" w:eastAsiaTheme="minorEastAsia" w:hAnsi="Cambria Math" w:cs="Arial"/>
                <w:sz w:val="20"/>
              </w:rPr>
              <m:t>min</m:t>
            </m:r>
          </m:sup>
        </m:sSup>
        <m:r>
          <w:rPr>
            <w:rFonts w:ascii="Cambria Math" w:eastAsiaTheme="minorEastAsia" w:hAnsi="Cambria Math" w:cs="Arial"/>
            <w:sz w:val="20"/>
          </w:rPr>
          <m:t>(</m:t>
        </m:r>
        <m:r>
          <m:rPr>
            <m:sty m:val="p"/>
          </m:rPr>
          <w:rPr>
            <w:rFonts w:ascii="Cambria Math" w:eastAsiaTheme="minorEastAsia" w:hAnsi="Cambria Math" w:cs="Arial"/>
            <w:sz w:val="20"/>
          </w:rPr>
          <m:t xml:space="preserve">Λ, </m:t>
        </m:r>
      </m:oMath>
      <w:r w:rsidRPr="00221DFF">
        <w:rPr>
          <w:rFonts w:eastAsiaTheme="minorEastAsia" w:cs="Arial"/>
          <w:sz w:val="20"/>
        </w:rPr>
        <w:t xml:space="preserve">Ω) and </w:t>
      </w:r>
      <m:oMath>
        <m:sSup>
          <m:sSupPr>
            <m:ctrlPr>
              <w:rPr>
                <w:rFonts w:ascii="Cambria Math" w:eastAsiaTheme="minorEastAsia" w:hAnsi="Cambria Math" w:cs="Arial"/>
                <w:i/>
                <w:sz w:val="20"/>
              </w:rPr>
            </m:ctrlPr>
          </m:sSupPr>
          <m:e>
            <m:r>
              <w:rPr>
                <w:rFonts w:ascii="Cambria Math" w:eastAsiaTheme="minorEastAsia" w:hAnsi="Cambria Math" w:cs="Arial"/>
                <w:sz w:val="20"/>
              </w:rPr>
              <m:t>d</m:t>
            </m:r>
          </m:e>
          <m:sup>
            <m:r>
              <m:rPr>
                <m:sty m:val="p"/>
              </m:rPr>
              <w:rPr>
                <w:rFonts w:ascii="Cambria Math" w:eastAsiaTheme="minorEastAsia" w:hAnsi="Cambria Math" w:cs="Arial"/>
                <w:sz w:val="20"/>
              </w:rPr>
              <m:t>max</m:t>
            </m:r>
          </m:sup>
        </m:sSup>
        <m:r>
          <w:rPr>
            <w:rFonts w:ascii="Cambria Math" w:eastAsiaTheme="minorEastAsia" w:hAnsi="Cambria Math" w:cs="Arial"/>
            <w:sz w:val="20"/>
          </w:rPr>
          <m:t>(</m:t>
        </m:r>
        <m:r>
          <m:rPr>
            <m:sty m:val="p"/>
          </m:rPr>
          <w:rPr>
            <w:rFonts w:ascii="Cambria Math" w:eastAsiaTheme="minorEastAsia" w:hAnsi="Cambria Math" w:cs="Arial"/>
            <w:sz w:val="20"/>
          </w:rPr>
          <m:t xml:space="preserve">Λ, </m:t>
        </m:r>
      </m:oMath>
      <w:r w:rsidRPr="00221DFF">
        <w:rPr>
          <w:rFonts w:eastAsiaTheme="minorEastAsia" w:cs="Arial"/>
          <w:sz w:val="20"/>
        </w:rPr>
        <w:t xml:space="preserve">Ω) in our clustering procedure (see Figure 1). Because of the sparse nature of connections and applied thresholds, we build a family of trees that we consider clusters. Currently, we use the values </w:t>
      </w:r>
      <m:oMath>
        <m:r>
          <w:rPr>
            <w:rFonts w:ascii="Cambria Math" w:eastAsiaTheme="minorEastAsia" w:hAnsi="Cambria Math" w:cs="Arial"/>
            <w:sz w:val="20"/>
          </w:rPr>
          <m:t>ε=0.7</m:t>
        </m:r>
      </m:oMath>
      <w:r w:rsidRPr="00221DFF">
        <w:rPr>
          <w:rFonts w:eastAsiaTheme="minorEastAsia" w:cs="Arial"/>
          <w:sz w:val="20"/>
        </w:rPr>
        <w:t xml:space="preserve">, </w:t>
      </w:r>
      <m:oMath>
        <m:r>
          <w:rPr>
            <w:rFonts w:ascii="Cambria Math" w:hAnsi="Cambria Math" w:cs="Arial"/>
            <w:sz w:val="20"/>
          </w:rPr>
          <m:t>γ=0.2,</m:t>
        </m:r>
      </m:oMath>
      <w:r w:rsidRPr="00221DFF">
        <w:rPr>
          <w:rFonts w:eastAsiaTheme="minorEastAsia" w:cs="Arial"/>
          <w:sz w:val="20"/>
        </w:rPr>
        <w:t xml:space="preserve"> </w:t>
      </w:r>
      <m:oMath>
        <m:r>
          <w:rPr>
            <w:rFonts w:ascii="Cambria Math" w:eastAsiaTheme="minorEastAsia" w:hAnsi="Cambria Math" w:cs="Arial"/>
            <w:sz w:val="20"/>
          </w:rPr>
          <m:t>α=0.1</m:t>
        </m:r>
      </m:oMath>
      <w:r w:rsidRPr="00221DFF">
        <w:rPr>
          <w:rFonts w:eastAsiaTheme="minorEastAsia" w:cs="Arial"/>
          <w:sz w:val="20"/>
        </w:rPr>
        <w:t xml:space="preserve">, and </w:t>
      </w:r>
      <m:oMath>
        <m:r>
          <w:rPr>
            <w:rFonts w:ascii="Cambria Math" w:eastAsiaTheme="minorEastAsia" w:hAnsi="Cambria Math" w:cs="Arial"/>
            <w:sz w:val="20"/>
          </w:rPr>
          <m:t>δ=0.5</m:t>
        </m:r>
      </m:oMath>
      <w:r w:rsidRPr="00221DFF">
        <w:rPr>
          <w:rFonts w:eastAsiaTheme="minorEastAsia" w:cs="Arial"/>
          <w:sz w:val="20"/>
        </w:rPr>
        <w:t>.</w:t>
      </w:r>
    </w:p>
    <w:p w14:paraId="27D31978" w14:textId="77777777" w:rsidR="000C1C20" w:rsidRDefault="000C1C20" w:rsidP="00FB4547">
      <w:pPr>
        <w:rPr>
          <w:rFonts w:eastAsiaTheme="minorEastAsia" w:cs="Arial"/>
          <w:sz w:val="20"/>
        </w:rPr>
      </w:pPr>
    </w:p>
    <w:p w14:paraId="747B73EF" w14:textId="18044BEE" w:rsidR="00FA6BE5" w:rsidRDefault="008E3F6A" w:rsidP="008E3F6A">
      <w:pPr>
        <w:rPr>
          <w:b/>
          <w:bCs/>
          <w:sz w:val="20"/>
        </w:rPr>
      </w:pPr>
      <w:r w:rsidRPr="00A077B6">
        <w:rPr>
          <w:b/>
          <w:bCs/>
          <w:sz w:val="20"/>
          <w:szCs w:val="22"/>
        </w:rPr>
        <w:t>Esta</w:t>
      </w:r>
      <w:r w:rsidR="006A6A99" w:rsidRPr="00A077B6">
        <w:rPr>
          <w:b/>
          <w:bCs/>
          <w:sz w:val="20"/>
          <w:szCs w:val="22"/>
        </w:rPr>
        <w:t xml:space="preserve">blishing </w:t>
      </w:r>
      <w:r w:rsidR="00FA6BE5">
        <w:rPr>
          <w:b/>
          <w:bCs/>
          <w:sz w:val="20"/>
          <w:szCs w:val="22"/>
        </w:rPr>
        <w:t>L</w:t>
      </w:r>
      <w:r w:rsidR="00FA6BE5" w:rsidRPr="00A077B6">
        <w:rPr>
          <w:b/>
          <w:bCs/>
          <w:sz w:val="20"/>
          <w:szCs w:val="22"/>
        </w:rPr>
        <w:t xml:space="preserve">inks </w:t>
      </w:r>
      <w:r w:rsidR="006A6A99" w:rsidRPr="00A077B6">
        <w:rPr>
          <w:b/>
          <w:bCs/>
          <w:sz w:val="20"/>
          <w:szCs w:val="22"/>
        </w:rPr>
        <w:t xml:space="preserve">between </w:t>
      </w:r>
      <w:r w:rsidR="00FA6BE5">
        <w:rPr>
          <w:b/>
          <w:bCs/>
          <w:sz w:val="20"/>
          <w:szCs w:val="22"/>
        </w:rPr>
        <w:t>R</w:t>
      </w:r>
      <w:r w:rsidR="00FA6BE5" w:rsidRPr="00A077B6">
        <w:rPr>
          <w:b/>
          <w:bCs/>
          <w:sz w:val="20"/>
          <w:szCs w:val="22"/>
        </w:rPr>
        <w:t xml:space="preserve">elated </w:t>
      </w:r>
      <w:r w:rsidR="00FA6BE5">
        <w:rPr>
          <w:b/>
          <w:bCs/>
          <w:sz w:val="20"/>
          <w:szCs w:val="22"/>
        </w:rPr>
        <w:t>C</w:t>
      </w:r>
      <w:r w:rsidR="00FA6BE5" w:rsidRPr="00A077B6">
        <w:rPr>
          <w:b/>
          <w:bCs/>
          <w:sz w:val="20"/>
          <w:szCs w:val="22"/>
        </w:rPr>
        <w:t>lusters</w:t>
      </w:r>
      <w:r w:rsidR="007B706B">
        <w:rPr>
          <w:b/>
          <w:bCs/>
          <w:sz w:val="20"/>
        </w:rPr>
        <w:t xml:space="preserve"> </w:t>
      </w:r>
    </w:p>
    <w:p w14:paraId="1D2BDE54" w14:textId="77777777" w:rsidR="00FA6BE5" w:rsidRDefault="00FA6BE5" w:rsidP="008E3F6A">
      <w:pPr>
        <w:rPr>
          <w:b/>
          <w:bCs/>
          <w:sz w:val="20"/>
        </w:rPr>
      </w:pPr>
    </w:p>
    <w:p w14:paraId="6884C93D" w14:textId="26D84325" w:rsidR="008E3F6A" w:rsidRDefault="007B706B" w:rsidP="008E3F6A">
      <w:pPr>
        <w:rPr>
          <w:sz w:val="20"/>
        </w:rPr>
      </w:pPr>
      <w:r w:rsidRPr="00D7647A">
        <w:rPr>
          <w:bCs/>
          <w:i/>
          <w:sz w:val="20"/>
        </w:rPr>
        <w:t>E</w:t>
      </w:r>
      <w:r w:rsidR="008E3F6A" w:rsidRPr="00D7647A">
        <w:rPr>
          <w:i/>
          <w:sz w:val="20"/>
        </w:rPr>
        <w:t>ach</w:t>
      </w:r>
      <w:r w:rsidR="008E3F6A">
        <w:rPr>
          <w:sz w:val="20"/>
        </w:rPr>
        <w:t xml:space="preserve"> protein within a cluster should be similar to </w:t>
      </w:r>
      <w:r w:rsidR="008E3F6A">
        <w:rPr>
          <w:i/>
          <w:iCs/>
          <w:sz w:val="20"/>
        </w:rPr>
        <w:t xml:space="preserve">all </w:t>
      </w:r>
      <w:r w:rsidR="008E3F6A">
        <w:rPr>
          <w:sz w:val="20"/>
        </w:rPr>
        <w:t xml:space="preserve">other proteins in the same cluster, satisfying coverage and similarity criteria. Still, a pair of proteins in different clusters could be similar. Such clusters are designated as </w:t>
      </w:r>
      <w:r w:rsidR="009C2AFF" w:rsidRPr="009C2AFF">
        <w:rPr>
          <w:i/>
          <w:sz w:val="20"/>
        </w:rPr>
        <w:t>r</w:t>
      </w:r>
      <w:r w:rsidR="008E3F6A" w:rsidRPr="009C2AFF">
        <w:rPr>
          <w:i/>
          <w:iCs/>
          <w:sz w:val="20"/>
        </w:rPr>
        <w:t>elated clusters</w:t>
      </w:r>
      <w:r w:rsidR="008E3F6A">
        <w:rPr>
          <w:sz w:val="20"/>
        </w:rPr>
        <w:t xml:space="preserve"> </w:t>
      </w:r>
      <w:r w:rsidR="00CC7B48">
        <w:rPr>
          <w:sz w:val="20"/>
        </w:rPr>
        <w:t>(</w:t>
      </w:r>
      <w:r w:rsidR="008E3F6A">
        <w:rPr>
          <w:sz w:val="20"/>
        </w:rPr>
        <w:t xml:space="preserve">1, </w:t>
      </w:r>
      <w:r w:rsidR="00A077B6">
        <w:rPr>
          <w:sz w:val="20"/>
        </w:rPr>
        <w:t xml:space="preserve">3, </w:t>
      </w:r>
      <w:r w:rsidR="0013590D">
        <w:rPr>
          <w:sz w:val="20"/>
        </w:rPr>
        <w:t>12, 24</w:t>
      </w:r>
      <w:r w:rsidR="00CC7B48">
        <w:rPr>
          <w:sz w:val="20"/>
        </w:rPr>
        <w:t>)</w:t>
      </w:r>
      <w:r w:rsidR="0013590D">
        <w:rPr>
          <w:sz w:val="20"/>
        </w:rPr>
        <w:t xml:space="preserve">. Links between </w:t>
      </w:r>
      <w:r w:rsidR="0094336F">
        <w:rPr>
          <w:sz w:val="20"/>
        </w:rPr>
        <w:t xml:space="preserve">related </w:t>
      </w:r>
      <w:r w:rsidR="008E3F6A">
        <w:rPr>
          <w:sz w:val="20"/>
        </w:rPr>
        <w:t>clusters are stored in</w:t>
      </w:r>
      <w:r w:rsidR="008E3F6A">
        <w:rPr>
          <w:i/>
          <w:iCs/>
          <w:sz w:val="20"/>
        </w:rPr>
        <w:t xml:space="preserve"> link indexes, </w:t>
      </w:r>
      <w:r w:rsidR="008E3F6A">
        <w:rPr>
          <w:sz w:val="20"/>
        </w:rPr>
        <w:t xml:space="preserve">which are used to show neighborhoods of clusters in </w:t>
      </w:r>
      <w:r w:rsidR="008E3F6A" w:rsidRPr="00D7647A">
        <w:rPr>
          <w:iCs/>
          <w:sz w:val="20"/>
        </w:rPr>
        <w:t>Entrez</w:t>
      </w:r>
      <w:r w:rsidR="008E3F6A">
        <w:rPr>
          <w:i/>
          <w:iCs/>
          <w:sz w:val="20"/>
        </w:rPr>
        <w:t xml:space="preserve"> </w:t>
      </w:r>
      <w:r w:rsidR="008E3F6A">
        <w:rPr>
          <w:sz w:val="20"/>
        </w:rPr>
        <w:t>search.</w:t>
      </w:r>
    </w:p>
    <w:p w14:paraId="1A1F9045" w14:textId="77777777" w:rsidR="0034279B" w:rsidRPr="00221DFF" w:rsidRDefault="0034279B" w:rsidP="00FB4547">
      <w:pPr>
        <w:rPr>
          <w:rFonts w:eastAsiaTheme="minorEastAsia" w:cs="Arial"/>
          <w:sz w:val="20"/>
        </w:rPr>
      </w:pPr>
    </w:p>
    <w:p w14:paraId="184AF38A" w14:textId="72FC8E67" w:rsidR="000E18D4" w:rsidRDefault="00FB4547" w:rsidP="000E18D4">
      <w:pPr>
        <w:rPr>
          <w:rFonts w:cs="Arial"/>
          <w:sz w:val="20"/>
        </w:rPr>
      </w:pPr>
      <w:r w:rsidRPr="00A077B6">
        <w:rPr>
          <w:rFonts w:eastAsiaTheme="minorEastAsia" w:cs="Arial"/>
          <w:b/>
          <w:sz w:val="20"/>
          <w:szCs w:val="22"/>
        </w:rPr>
        <w:t>Organization of computations</w:t>
      </w:r>
      <w:r w:rsidRPr="00A077B6">
        <w:rPr>
          <w:rFonts w:eastAsiaTheme="minorEastAsia" w:cs="Arial"/>
          <w:b/>
          <w:sz w:val="18"/>
        </w:rPr>
        <w:t>.</w:t>
      </w:r>
      <w:r w:rsidRPr="00A077B6">
        <w:rPr>
          <w:rFonts w:eastAsiaTheme="minorEastAsia" w:cs="Arial"/>
          <w:sz w:val="18"/>
        </w:rPr>
        <w:t xml:space="preserve"> </w:t>
      </w:r>
      <w:r w:rsidR="00194708">
        <w:rPr>
          <w:rFonts w:cs="Arial"/>
          <w:sz w:val="20"/>
        </w:rPr>
        <w:t>First</w:t>
      </w:r>
      <w:r w:rsidR="000E18D4">
        <w:rPr>
          <w:rFonts w:cs="Arial"/>
          <w:sz w:val="20"/>
        </w:rPr>
        <w:t>, we eliminate redundancy and near-redundancy i</w:t>
      </w:r>
      <w:r w:rsidR="00194708">
        <w:rPr>
          <w:rFonts w:cs="Arial"/>
          <w:sz w:val="20"/>
        </w:rPr>
        <w:t xml:space="preserve">n the protein dataset </w:t>
      </w:r>
      <w:r w:rsidR="00CC7B48">
        <w:rPr>
          <w:rFonts w:cs="Arial"/>
          <w:sz w:val="20"/>
        </w:rPr>
        <w:t>(</w:t>
      </w:r>
      <w:r w:rsidR="00194708">
        <w:rPr>
          <w:rFonts w:cs="Arial"/>
          <w:sz w:val="20"/>
        </w:rPr>
        <w:t>2, 12</w:t>
      </w:r>
      <w:r w:rsidR="00CC7B48">
        <w:rPr>
          <w:rFonts w:cs="Arial"/>
          <w:sz w:val="20"/>
        </w:rPr>
        <w:t>)</w:t>
      </w:r>
      <w:r w:rsidR="00194708">
        <w:rPr>
          <w:rFonts w:cs="Arial"/>
          <w:sz w:val="20"/>
        </w:rPr>
        <w:t xml:space="preserve">. </w:t>
      </w:r>
      <w:r w:rsidR="000E18D4">
        <w:rPr>
          <w:rFonts w:cs="Arial"/>
          <w:sz w:val="20"/>
        </w:rPr>
        <w:t xml:space="preserve">Representative proteins from groups of redundant and nearly-redundant proteins are selected by the program USEARCH </w:t>
      </w:r>
      <w:r w:rsidR="00CC7B48">
        <w:rPr>
          <w:rFonts w:cs="Arial"/>
          <w:sz w:val="20"/>
        </w:rPr>
        <w:t>(</w:t>
      </w:r>
      <w:r w:rsidR="000E18D4">
        <w:rPr>
          <w:rFonts w:cs="Arial"/>
          <w:sz w:val="20"/>
        </w:rPr>
        <w:t>5</w:t>
      </w:r>
      <w:r w:rsidR="00CC7B48">
        <w:rPr>
          <w:rFonts w:cs="Arial"/>
          <w:sz w:val="20"/>
        </w:rPr>
        <w:t>)</w:t>
      </w:r>
      <w:r w:rsidR="000E18D4">
        <w:rPr>
          <w:rFonts w:cs="Arial"/>
          <w:sz w:val="20"/>
        </w:rPr>
        <w:t>.</w:t>
      </w:r>
    </w:p>
    <w:p w14:paraId="0E6DB20E" w14:textId="77777777" w:rsidR="000E18D4" w:rsidRDefault="000E18D4" w:rsidP="000E18D4">
      <w:pPr>
        <w:rPr>
          <w:rFonts w:cs="Arial"/>
          <w:sz w:val="20"/>
        </w:rPr>
      </w:pPr>
    </w:p>
    <w:p w14:paraId="21546A0D" w14:textId="77777777" w:rsidR="000E18D4" w:rsidRDefault="000E18D4" w:rsidP="000E18D4">
      <w:pPr>
        <w:rPr>
          <w:rFonts w:cs="Arial"/>
          <w:sz w:val="20"/>
        </w:rPr>
      </w:pPr>
      <w:r>
        <w:rPr>
          <w:rFonts w:cs="Arial"/>
          <w:sz w:val="20"/>
        </w:rPr>
        <w:t xml:space="preserve">In order to perform clustering in parallel, the dataset is partitioned in disjoint sets (Figure 2) using a parallel implementation based on a disjoint-set forest with union-by-rank heuristics </w:t>
      </w:r>
      <w:r w:rsidR="00CC7B48">
        <w:rPr>
          <w:rFonts w:cs="Arial"/>
          <w:sz w:val="20"/>
        </w:rPr>
        <w:t>(</w:t>
      </w:r>
      <w:r>
        <w:rPr>
          <w:rFonts w:cs="Arial"/>
          <w:sz w:val="20"/>
        </w:rPr>
        <w:t>4, 22</w:t>
      </w:r>
      <w:r w:rsidR="00CC7B48">
        <w:rPr>
          <w:rFonts w:cs="Arial"/>
          <w:sz w:val="20"/>
        </w:rPr>
        <w:t>)</w:t>
      </w:r>
      <w:r>
        <w:rPr>
          <w:rFonts w:cs="Arial"/>
          <w:sz w:val="20"/>
        </w:rPr>
        <w:t>, and then clustering is performed concurrently in partitions.</w:t>
      </w:r>
      <w:r>
        <w:rPr>
          <w:rFonts w:cs="Arial"/>
          <w:sz w:val="18"/>
          <w:szCs w:val="18"/>
        </w:rPr>
        <w:t xml:space="preserve"> </w:t>
      </w:r>
      <w:r>
        <w:rPr>
          <w:rFonts w:cs="Arial"/>
          <w:sz w:val="20"/>
        </w:rPr>
        <w:t xml:space="preserve">When looking for disjoint sets, we only consider connections with </w:t>
      </w:r>
      <m:oMath>
        <m:sSubSup>
          <m:sSubSupPr>
            <m:ctrlPr>
              <w:rPr>
                <w:rFonts w:ascii="Cambria Math" w:eastAsiaTheme="minorHAnsi" w:hAnsi="Cambria Math"/>
                <w:i/>
                <w:iCs/>
                <w:szCs w:val="24"/>
              </w:rPr>
            </m:ctrlPr>
          </m:sSubSupPr>
          <m:e>
            <m:r>
              <w:rPr>
                <w:rFonts w:ascii="Cambria Math" w:hAnsi="Cambria Math"/>
                <w:sz w:val="20"/>
              </w:rPr>
              <m:t>d</m:t>
            </m:r>
          </m:e>
          <m:sub>
            <m:r>
              <w:rPr>
                <w:rFonts w:ascii="Cambria Math" w:hAnsi="Cambria Math"/>
                <w:sz w:val="20"/>
              </w:rPr>
              <m:t>ij</m:t>
            </m:r>
          </m:sub>
          <m:sup>
            <m:r>
              <m:rPr>
                <m:sty m:val="p"/>
              </m:rPr>
              <w:rPr>
                <w:rFonts w:ascii="Cambria Math" w:hAnsi="Cambria Math"/>
                <w:sz w:val="20"/>
              </w:rPr>
              <m:t>α</m:t>
            </m:r>
          </m:sup>
        </m:sSubSup>
        <m:r>
          <w:rPr>
            <w:rFonts w:ascii="Cambria Math" w:hAnsi="Cambria Math"/>
            <w:sz w:val="20"/>
          </w:rPr>
          <m:t>≤δ.</m:t>
        </m:r>
      </m:oMath>
      <w:r>
        <w:rPr>
          <w:rFonts w:cs="Arial"/>
          <w:sz w:val="20"/>
        </w:rPr>
        <w:t xml:space="preserve"> </w:t>
      </w:r>
    </w:p>
    <w:p w14:paraId="3E753995" w14:textId="77777777" w:rsidR="000E437A" w:rsidRDefault="000E437A" w:rsidP="000E18D4">
      <w:pPr>
        <w:rPr>
          <w:rFonts w:cs="Arial"/>
          <w:sz w:val="20"/>
        </w:rPr>
      </w:pPr>
    </w:p>
    <w:p w14:paraId="322EE032" w14:textId="77777777" w:rsidR="000E18D4" w:rsidRDefault="000E18D4" w:rsidP="000E18D4">
      <w:pPr>
        <w:rPr>
          <w:rFonts w:cs="Arial"/>
          <w:sz w:val="20"/>
        </w:rPr>
      </w:pPr>
      <w:r>
        <w:rPr>
          <w:rFonts w:cs="Arial"/>
          <w:sz w:val="20"/>
        </w:rPr>
        <w:t xml:space="preserve">After the clustering is performed, link indexes are also calculated in parallel from the aggregated BLAST hit and protein assignment to clusters. </w:t>
      </w:r>
    </w:p>
    <w:p w14:paraId="4B5BBA8D" w14:textId="77777777" w:rsidR="00FB4547" w:rsidRPr="00221DFF" w:rsidRDefault="00FB4547" w:rsidP="001A1FFD">
      <w:pPr>
        <w:rPr>
          <w:rFonts w:eastAsia="Times New Roman" w:cs="Arial"/>
          <w:sz w:val="20"/>
        </w:rPr>
      </w:pPr>
    </w:p>
    <w:p w14:paraId="19108BA4" w14:textId="77777777" w:rsidR="00676EF2" w:rsidRPr="00700D74" w:rsidRDefault="00EA5E1F" w:rsidP="00676EF2">
      <w:pPr>
        <w:pStyle w:val="Heading2"/>
        <w:rPr>
          <w:rFonts w:cs="Arial"/>
          <w:color w:val="7F7F7F" w:themeColor="text1" w:themeTint="80"/>
          <w:sz w:val="24"/>
          <w:szCs w:val="24"/>
        </w:rPr>
      </w:pPr>
      <w:r w:rsidRPr="00700D74">
        <w:rPr>
          <w:rFonts w:cs="Arial"/>
          <w:color w:val="7F7F7F" w:themeColor="text1" w:themeTint="80"/>
          <w:sz w:val="24"/>
          <w:szCs w:val="24"/>
        </w:rPr>
        <w:t>Dataflow</w:t>
      </w:r>
    </w:p>
    <w:p w14:paraId="2AC9D2F1" w14:textId="77777777" w:rsidR="00676EF2" w:rsidRPr="00221DFF" w:rsidRDefault="00676EF2" w:rsidP="00676EF2">
      <w:pPr>
        <w:rPr>
          <w:rFonts w:eastAsia="Times New Roman" w:cs="Arial"/>
          <w:sz w:val="20"/>
        </w:rPr>
      </w:pPr>
      <w:r w:rsidRPr="00221DFF">
        <w:rPr>
          <w:rFonts w:eastAsia="Times New Roman" w:cs="Arial"/>
          <w:sz w:val="20"/>
        </w:rPr>
        <w:t xml:space="preserve">Input data are proteins from complete and draft (WGS) genomes that pass certain quality filters. </w:t>
      </w:r>
    </w:p>
    <w:p w14:paraId="073A8910" w14:textId="2AA9EA77" w:rsidR="00676EF2" w:rsidRPr="00221DFF" w:rsidRDefault="00676EF2" w:rsidP="00676EF2">
      <w:pPr>
        <w:rPr>
          <w:rFonts w:eastAsia="Times New Roman" w:cs="Arial"/>
          <w:sz w:val="20"/>
        </w:rPr>
      </w:pPr>
      <w:r w:rsidRPr="00221DFF">
        <w:rPr>
          <w:rFonts w:eastAsia="Times New Roman" w:cs="Arial"/>
          <w:sz w:val="20"/>
        </w:rPr>
        <w:t>Proteins marked as incomplete in metadata (“incomplete</w:t>
      </w:r>
      <w:r w:rsidR="0094336F">
        <w:rPr>
          <w:rFonts w:eastAsia="Times New Roman" w:cs="Arial"/>
          <w:sz w:val="20"/>
        </w:rPr>
        <w:t>,</w:t>
      </w:r>
      <w:r w:rsidRPr="00221DFF">
        <w:rPr>
          <w:rFonts w:eastAsia="Times New Roman" w:cs="Arial"/>
          <w:sz w:val="20"/>
        </w:rPr>
        <w:t>” “no start</w:t>
      </w:r>
      <w:r w:rsidR="0094336F">
        <w:rPr>
          <w:rFonts w:eastAsia="Times New Roman" w:cs="Arial"/>
          <w:sz w:val="20"/>
        </w:rPr>
        <w:t>,</w:t>
      </w:r>
      <w:r w:rsidRPr="00221DFF">
        <w:rPr>
          <w:rFonts w:eastAsia="Times New Roman" w:cs="Arial"/>
          <w:sz w:val="20"/>
        </w:rPr>
        <w:t>” “no end</w:t>
      </w:r>
      <w:r w:rsidR="0094336F">
        <w:rPr>
          <w:rFonts w:eastAsia="Times New Roman" w:cs="Arial"/>
          <w:sz w:val="20"/>
        </w:rPr>
        <w:t>,</w:t>
      </w:r>
      <w:r w:rsidRPr="00221DFF">
        <w:rPr>
          <w:rFonts w:eastAsia="Times New Roman" w:cs="Arial"/>
          <w:sz w:val="20"/>
        </w:rPr>
        <w:t>” “fragment</w:t>
      </w:r>
      <w:r w:rsidR="0094336F">
        <w:rPr>
          <w:rFonts w:eastAsia="Times New Roman" w:cs="Arial"/>
          <w:sz w:val="20"/>
        </w:rPr>
        <w:t>,</w:t>
      </w:r>
      <w:r w:rsidRPr="00221DFF">
        <w:rPr>
          <w:rFonts w:eastAsia="Times New Roman" w:cs="Arial"/>
          <w:sz w:val="20"/>
        </w:rPr>
        <w:t>” etc.) are removed and only</w:t>
      </w:r>
      <w:r w:rsidR="007716A8">
        <w:rPr>
          <w:rFonts w:eastAsia="Times New Roman" w:cs="Arial"/>
          <w:sz w:val="20"/>
        </w:rPr>
        <w:t xml:space="preserve"> proteins that are</w:t>
      </w:r>
      <w:r w:rsidRPr="00221DFF">
        <w:rPr>
          <w:rFonts w:eastAsia="Times New Roman" w:cs="Arial"/>
          <w:sz w:val="20"/>
        </w:rPr>
        <w:t xml:space="preserve"> presum</w:t>
      </w:r>
      <w:r w:rsidR="007716A8">
        <w:rPr>
          <w:rFonts w:eastAsia="Times New Roman" w:cs="Arial"/>
          <w:sz w:val="20"/>
        </w:rPr>
        <w:t>ed</w:t>
      </w:r>
      <w:r w:rsidRPr="00221DFF">
        <w:rPr>
          <w:rFonts w:eastAsia="Times New Roman" w:cs="Arial"/>
          <w:sz w:val="20"/>
        </w:rPr>
        <w:t xml:space="preserve"> complete are analyzed. </w:t>
      </w:r>
      <w:r w:rsidR="00BD2CE7">
        <w:rPr>
          <w:rFonts w:eastAsia="Times New Roman" w:cs="Arial"/>
          <w:sz w:val="20"/>
        </w:rPr>
        <w:t>Bacterial genome</w:t>
      </w:r>
      <w:r w:rsidR="006A6A99">
        <w:rPr>
          <w:rFonts w:eastAsia="Times New Roman" w:cs="Arial"/>
          <w:sz w:val="20"/>
        </w:rPr>
        <w:t xml:space="preserve"> clustering has</w:t>
      </w:r>
      <w:r w:rsidR="00BD2CE7">
        <w:rPr>
          <w:rFonts w:eastAsia="Times New Roman" w:cs="Arial"/>
          <w:sz w:val="20"/>
        </w:rPr>
        <w:t xml:space="preserve"> a different dataflow compared </w:t>
      </w:r>
      <w:r w:rsidR="00953490">
        <w:rPr>
          <w:rFonts w:eastAsia="Times New Roman" w:cs="Arial"/>
          <w:sz w:val="20"/>
        </w:rPr>
        <w:t xml:space="preserve">to </w:t>
      </w:r>
      <w:r w:rsidR="00BD2CE7">
        <w:rPr>
          <w:rFonts w:eastAsia="Times New Roman" w:cs="Arial"/>
          <w:sz w:val="20"/>
        </w:rPr>
        <w:t>other genomes as indicated in Figure 3</w:t>
      </w:r>
      <w:r w:rsidR="00D16E5B">
        <w:rPr>
          <w:rFonts w:eastAsia="Times New Roman" w:cs="Arial"/>
          <w:sz w:val="20"/>
        </w:rPr>
        <w:t>.</w:t>
      </w:r>
    </w:p>
    <w:p w14:paraId="09ACBA0E" w14:textId="77777777" w:rsidR="000A2208" w:rsidRDefault="000A2208" w:rsidP="00265448">
      <w:pPr>
        <w:rPr>
          <w:rFonts w:cs="Arial"/>
          <w:b/>
          <w:sz w:val="20"/>
        </w:rPr>
      </w:pPr>
    </w:p>
    <w:p w14:paraId="303380F3" w14:textId="77777777" w:rsidR="00265448" w:rsidRDefault="00265448" w:rsidP="008D56D5">
      <w:pPr>
        <w:pStyle w:val="Heading2"/>
      </w:pPr>
      <w:r w:rsidRPr="00700D74">
        <w:t>Manual Curation</w:t>
      </w:r>
    </w:p>
    <w:p w14:paraId="42E6AED6" w14:textId="77777777" w:rsidR="004010DA" w:rsidRPr="008D56D5" w:rsidRDefault="004010DA" w:rsidP="008D56D5"/>
    <w:p w14:paraId="26CE294D" w14:textId="7203014A" w:rsidR="00265448" w:rsidRPr="00221DFF" w:rsidRDefault="00265448" w:rsidP="00265448">
      <w:pPr>
        <w:rPr>
          <w:rFonts w:cs="Arial"/>
          <w:sz w:val="20"/>
        </w:rPr>
      </w:pPr>
      <w:r w:rsidRPr="00221DFF">
        <w:rPr>
          <w:rFonts w:cs="Arial"/>
          <w:sz w:val="20"/>
        </w:rPr>
        <w:t>One of the most important aspects of the</w:t>
      </w:r>
      <w:r w:rsidR="005B4BA1">
        <w:rPr>
          <w:rFonts w:cs="Arial"/>
          <w:sz w:val="20"/>
        </w:rPr>
        <w:t xml:space="preserve"> curation process of</w:t>
      </w:r>
      <w:r w:rsidRPr="00221DFF">
        <w:rPr>
          <w:rFonts w:cs="Arial"/>
          <w:sz w:val="20"/>
        </w:rPr>
        <w:t xml:space="preserve"> Protein </w:t>
      </w:r>
      <w:r w:rsidR="00764D4F" w:rsidRPr="00221DFF">
        <w:rPr>
          <w:rFonts w:cs="Arial"/>
          <w:sz w:val="20"/>
        </w:rPr>
        <w:t>C</w:t>
      </w:r>
      <w:r w:rsidRPr="00221DFF">
        <w:rPr>
          <w:rFonts w:cs="Arial"/>
          <w:sz w:val="20"/>
        </w:rPr>
        <w:t xml:space="preserve">lusters is the </w:t>
      </w:r>
      <w:r w:rsidR="005B4BA1">
        <w:rPr>
          <w:rFonts w:cs="Arial"/>
          <w:sz w:val="20"/>
        </w:rPr>
        <w:t>assignment</w:t>
      </w:r>
      <w:r w:rsidR="005B4BA1" w:rsidRPr="00221DFF">
        <w:rPr>
          <w:rFonts w:cs="Arial"/>
          <w:sz w:val="20"/>
        </w:rPr>
        <w:t xml:space="preserve"> </w:t>
      </w:r>
      <w:r w:rsidRPr="00221DFF">
        <w:rPr>
          <w:rFonts w:cs="Arial"/>
          <w:sz w:val="20"/>
        </w:rPr>
        <w:t xml:space="preserve">of function </w:t>
      </w:r>
      <w:r w:rsidR="005B4BA1">
        <w:rPr>
          <w:rFonts w:cs="Arial"/>
          <w:sz w:val="20"/>
        </w:rPr>
        <w:t>that</w:t>
      </w:r>
      <w:r w:rsidR="005B4BA1" w:rsidRPr="00221DFF">
        <w:rPr>
          <w:rFonts w:cs="Arial"/>
          <w:sz w:val="20"/>
        </w:rPr>
        <w:t xml:space="preserve"> </w:t>
      </w:r>
      <w:r w:rsidRPr="00221DFF">
        <w:rPr>
          <w:rFonts w:cs="Arial"/>
          <w:sz w:val="20"/>
        </w:rPr>
        <w:t xml:space="preserve">is obtained from the literature. Curated functional annotation can be propagated to all proteins within the cluster. That process </w:t>
      </w:r>
      <w:r w:rsidR="00764D4F" w:rsidRPr="00221DFF">
        <w:rPr>
          <w:rFonts w:cs="Arial"/>
          <w:sz w:val="20"/>
        </w:rPr>
        <w:t>i</w:t>
      </w:r>
      <w:r w:rsidR="00E51C51">
        <w:rPr>
          <w:rFonts w:cs="Arial"/>
          <w:sz w:val="20"/>
        </w:rPr>
        <w:t>mprov</w:t>
      </w:r>
      <w:r w:rsidR="005B4BA1">
        <w:rPr>
          <w:rFonts w:cs="Arial"/>
          <w:sz w:val="20"/>
        </w:rPr>
        <w:t>es the</w:t>
      </w:r>
      <w:r w:rsidR="00E51C51">
        <w:rPr>
          <w:rFonts w:cs="Arial"/>
          <w:sz w:val="20"/>
        </w:rPr>
        <w:t xml:space="preserve"> functional annotation of</w:t>
      </w:r>
      <w:r w:rsidR="00764D4F" w:rsidRPr="00221DFF">
        <w:rPr>
          <w:rFonts w:cs="Arial"/>
          <w:sz w:val="20"/>
        </w:rPr>
        <w:t xml:space="preserve"> Ref</w:t>
      </w:r>
      <w:r w:rsidR="00D61A42">
        <w:rPr>
          <w:rFonts w:cs="Arial"/>
          <w:sz w:val="20"/>
        </w:rPr>
        <w:t>S</w:t>
      </w:r>
      <w:r w:rsidR="00764D4F" w:rsidRPr="00221DFF">
        <w:rPr>
          <w:rFonts w:cs="Arial"/>
          <w:sz w:val="20"/>
        </w:rPr>
        <w:t>eq genome</w:t>
      </w:r>
      <w:r w:rsidR="00E51C51">
        <w:rPr>
          <w:rFonts w:cs="Arial"/>
          <w:sz w:val="20"/>
        </w:rPr>
        <w:t>s</w:t>
      </w:r>
      <w:r w:rsidR="00764D4F" w:rsidRPr="00221DFF">
        <w:rPr>
          <w:rFonts w:cs="Arial"/>
          <w:sz w:val="20"/>
        </w:rPr>
        <w:t xml:space="preserve"> and </w:t>
      </w:r>
      <w:r w:rsidR="005B4BA1">
        <w:rPr>
          <w:rFonts w:cs="Arial"/>
          <w:sz w:val="20"/>
        </w:rPr>
        <w:t>unifies</w:t>
      </w:r>
      <w:r w:rsidR="005B4BA1" w:rsidRPr="00221DFF">
        <w:rPr>
          <w:rFonts w:cs="Arial"/>
          <w:sz w:val="20"/>
        </w:rPr>
        <w:t xml:space="preserve"> </w:t>
      </w:r>
      <w:r w:rsidR="00764D4F" w:rsidRPr="00221DFF">
        <w:rPr>
          <w:rFonts w:cs="Arial"/>
          <w:sz w:val="20"/>
        </w:rPr>
        <w:t xml:space="preserve">and </w:t>
      </w:r>
      <w:r w:rsidR="005B4BA1">
        <w:rPr>
          <w:rFonts w:cs="Arial"/>
          <w:sz w:val="20"/>
        </w:rPr>
        <w:t>standardizes</w:t>
      </w:r>
      <w:r w:rsidR="005B4BA1" w:rsidRPr="00221DFF">
        <w:rPr>
          <w:rFonts w:cs="Arial"/>
          <w:sz w:val="20"/>
        </w:rPr>
        <w:t xml:space="preserve"> </w:t>
      </w:r>
      <w:r w:rsidRPr="00221DFF">
        <w:rPr>
          <w:rFonts w:cs="Arial"/>
          <w:sz w:val="20"/>
        </w:rPr>
        <w:t>the naming rules across various organisms and different annotation pipelines.</w:t>
      </w:r>
      <w:r w:rsidR="00953490">
        <w:rPr>
          <w:rFonts w:cs="Arial"/>
          <w:sz w:val="20"/>
        </w:rPr>
        <w:t xml:space="preserve"> In addition to providing functional annotation</w:t>
      </w:r>
      <w:r w:rsidR="00EC5507">
        <w:rPr>
          <w:rFonts w:cs="Arial"/>
          <w:sz w:val="20"/>
        </w:rPr>
        <w:t xml:space="preserve"> </w:t>
      </w:r>
      <w:r w:rsidR="005B4BA1">
        <w:rPr>
          <w:rFonts w:cs="Arial"/>
          <w:sz w:val="20"/>
        </w:rPr>
        <w:t xml:space="preserve">that </w:t>
      </w:r>
      <w:r w:rsidR="00EC5507">
        <w:rPr>
          <w:rFonts w:cs="Arial"/>
          <w:sz w:val="20"/>
        </w:rPr>
        <w:t>is required for each cluster</w:t>
      </w:r>
      <w:r w:rsidR="00953490">
        <w:rPr>
          <w:rFonts w:cs="Arial"/>
          <w:sz w:val="20"/>
        </w:rPr>
        <w:t xml:space="preserve">, </w:t>
      </w:r>
      <w:r w:rsidR="005B4BA1">
        <w:rPr>
          <w:rFonts w:cs="Arial"/>
          <w:sz w:val="20"/>
        </w:rPr>
        <w:t>other data are also added, such as the g</w:t>
      </w:r>
      <w:r w:rsidR="00EC5507">
        <w:rPr>
          <w:rFonts w:cs="Arial"/>
          <w:sz w:val="20"/>
        </w:rPr>
        <w:t xml:space="preserve">ene name, </w:t>
      </w:r>
      <w:r w:rsidR="005B4BA1">
        <w:rPr>
          <w:rFonts w:cs="Arial"/>
          <w:sz w:val="20"/>
        </w:rPr>
        <w:t xml:space="preserve">a </w:t>
      </w:r>
      <w:r w:rsidR="00EC5507">
        <w:rPr>
          <w:rFonts w:cs="Arial"/>
          <w:sz w:val="20"/>
        </w:rPr>
        <w:t>detailed description about the protein,</w:t>
      </w:r>
      <w:r w:rsidR="005B4BA1">
        <w:rPr>
          <w:rFonts w:cs="Arial"/>
          <w:sz w:val="20"/>
        </w:rPr>
        <w:t xml:space="preserve"> the</w:t>
      </w:r>
      <w:r w:rsidR="00EC5507">
        <w:rPr>
          <w:rFonts w:cs="Arial"/>
          <w:sz w:val="20"/>
        </w:rPr>
        <w:t xml:space="preserve"> </w:t>
      </w:r>
      <w:r w:rsidR="00953490">
        <w:rPr>
          <w:rFonts w:cs="Arial"/>
          <w:sz w:val="20"/>
        </w:rPr>
        <w:t>E.C. number</w:t>
      </w:r>
      <w:r w:rsidR="00FA6BE5">
        <w:rPr>
          <w:rFonts w:cs="Arial"/>
          <w:sz w:val="20"/>
        </w:rPr>
        <w:t>,</w:t>
      </w:r>
      <w:r w:rsidR="00EC5507">
        <w:rPr>
          <w:rFonts w:cs="Arial"/>
          <w:sz w:val="20"/>
        </w:rPr>
        <w:t xml:space="preserve"> and</w:t>
      </w:r>
      <w:r w:rsidR="00953490">
        <w:rPr>
          <w:rFonts w:cs="Arial"/>
          <w:sz w:val="20"/>
        </w:rPr>
        <w:t xml:space="preserve"> </w:t>
      </w:r>
      <w:r w:rsidR="00EC5507">
        <w:rPr>
          <w:rFonts w:cs="Arial"/>
          <w:sz w:val="20"/>
        </w:rPr>
        <w:t>relevant publications.</w:t>
      </w:r>
    </w:p>
    <w:p w14:paraId="4E13357B" w14:textId="77777777" w:rsidR="00E13CFE" w:rsidRDefault="00E13CFE" w:rsidP="00265448">
      <w:pPr>
        <w:rPr>
          <w:rFonts w:cs="Arial"/>
          <w:sz w:val="20"/>
        </w:rPr>
      </w:pPr>
    </w:p>
    <w:p w14:paraId="51F7869A" w14:textId="77777777" w:rsidR="00953490" w:rsidRPr="00221DFF" w:rsidRDefault="00953490" w:rsidP="00265448">
      <w:pPr>
        <w:rPr>
          <w:rFonts w:cs="Arial"/>
          <w:sz w:val="20"/>
        </w:rPr>
      </w:pPr>
    </w:p>
    <w:p w14:paraId="1FF39066" w14:textId="77777777" w:rsidR="0001689F" w:rsidRDefault="0001689F" w:rsidP="008D56D5">
      <w:pPr>
        <w:pStyle w:val="Heading2"/>
      </w:pPr>
      <w:r w:rsidRPr="00700D74">
        <w:t>Cluster Display</w:t>
      </w:r>
    </w:p>
    <w:p w14:paraId="5DF75359" w14:textId="77777777" w:rsidR="003D471C" w:rsidRPr="008D56D5" w:rsidRDefault="003D471C" w:rsidP="008D56D5"/>
    <w:p w14:paraId="7445634E" w14:textId="6DCCC546" w:rsidR="00E13CFE" w:rsidRDefault="0093674C" w:rsidP="00E13CFE">
      <w:pPr>
        <w:rPr>
          <w:rFonts w:eastAsia="Times New Roman" w:cs="Arial"/>
          <w:sz w:val="20"/>
        </w:rPr>
      </w:pPr>
      <w:r>
        <w:rPr>
          <w:rFonts w:eastAsia="Times New Roman" w:cs="Arial"/>
          <w:sz w:val="20"/>
        </w:rPr>
        <w:t>A p</w:t>
      </w:r>
      <w:r w:rsidR="00E13CFE" w:rsidRPr="00221DFF">
        <w:rPr>
          <w:rFonts w:eastAsia="Times New Roman" w:cs="Arial"/>
          <w:sz w:val="20"/>
        </w:rPr>
        <w:t>rotein cluster is represented by a list of protein identifiers (</w:t>
      </w:r>
      <w:r w:rsidR="00B926A5">
        <w:rPr>
          <w:rFonts w:eastAsia="Times New Roman" w:cs="Arial"/>
          <w:sz w:val="20"/>
        </w:rPr>
        <w:t>accessions</w:t>
      </w:r>
      <w:r w:rsidR="00E13CFE" w:rsidRPr="00221DFF">
        <w:rPr>
          <w:rFonts w:eastAsia="Times New Roman" w:cs="Arial"/>
          <w:sz w:val="20"/>
        </w:rPr>
        <w:t xml:space="preserve">) and the genomes that code for the proteins. Each cluster </w:t>
      </w:r>
      <w:r w:rsidR="005502DC">
        <w:rPr>
          <w:rFonts w:eastAsia="Times New Roman" w:cs="Arial"/>
          <w:sz w:val="20"/>
        </w:rPr>
        <w:t xml:space="preserve">has a stable unique identifier </w:t>
      </w:r>
      <w:r w:rsidR="00E13CFE" w:rsidRPr="00221DFF">
        <w:rPr>
          <w:rFonts w:eastAsia="Times New Roman" w:cs="Arial"/>
          <w:sz w:val="20"/>
        </w:rPr>
        <w:t xml:space="preserve">and a functional cluster name. </w:t>
      </w:r>
      <w:r>
        <w:rPr>
          <w:rFonts w:eastAsia="Times New Roman" w:cs="Arial"/>
          <w:sz w:val="20"/>
        </w:rPr>
        <w:t>The c</w:t>
      </w:r>
      <w:r w:rsidR="00E13CFE" w:rsidRPr="00221DFF">
        <w:rPr>
          <w:rFonts w:eastAsia="Times New Roman" w:cs="Arial"/>
          <w:sz w:val="20"/>
        </w:rPr>
        <w:t>luster name is</w:t>
      </w:r>
      <w:r w:rsidR="003D471C">
        <w:rPr>
          <w:rFonts w:eastAsia="Times New Roman" w:cs="Arial"/>
          <w:sz w:val="20"/>
        </w:rPr>
        <w:t xml:space="preserve"> automatically</w:t>
      </w:r>
      <w:r w:rsidR="00E13CFE" w:rsidRPr="00221DFF">
        <w:rPr>
          <w:rFonts w:eastAsia="Times New Roman" w:cs="Arial"/>
          <w:sz w:val="20"/>
        </w:rPr>
        <w:t xml:space="preserve"> calculated </w:t>
      </w:r>
      <w:r w:rsidR="00F21525">
        <w:rPr>
          <w:rFonts w:eastAsia="Times New Roman" w:cs="Arial"/>
          <w:sz w:val="20"/>
        </w:rPr>
        <w:t>and</w:t>
      </w:r>
      <w:r w:rsidR="003D471C">
        <w:rPr>
          <w:rFonts w:eastAsia="Times New Roman" w:cs="Arial"/>
          <w:sz w:val="20"/>
        </w:rPr>
        <w:t xml:space="preserve"> followed</w:t>
      </w:r>
      <w:r w:rsidR="00E13CFE" w:rsidRPr="00221DFF">
        <w:rPr>
          <w:rFonts w:eastAsia="Times New Roman" w:cs="Arial"/>
          <w:sz w:val="20"/>
        </w:rPr>
        <w:t xml:space="preserve"> by manual review. </w:t>
      </w:r>
      <w:r w:rsidR="005A745E" w:rsidRPr="00221DFF">
        <w:rPr>
          <w:rFonts w:eastAsia="Times New Roman" w:cs="Arial"/>
          <w:sz w:val="20"/>
        </w:rPr>
        <w:t xml:space="preserve">Each cluster provides </w:t>
      </w:r>
      <w:r w:rsidR="0030586B" w:rsidRPr="00221DFF">
        <w:rPr>
          <w:rFonts w:eastAsia="Times New Roman" w:cs="Arial"/>
          <w:sz w:val="20"/>
        </w:rPr>
        <w:t xml:space="preserve">statistics to indicate the number of proteins within that cluster and other </w:t>
      </w:r>
      <w:r w:rsidR="004352DA" w:rsidRPr="00221DFF">
        <w:rPr>
          <w:rFonts w:eastAsia="Times New Roman" w:cs="Arial"/>
          <w:sz w:val="20"/>
        </w:rPr>
        <w:t>important</w:t>
      </w:r>
      <w:r w:rsidR="0001689F" w:rsidRPr="00221DFF">
        <w:rPr>
          <w:rFonts w:eastAsia="Times New Roman" w:cs="Arial"/>
          <w:sz w:val="20"/>
        </w:rPr>
        <w:t xml:space="preserve"> features including the Protein Table</w:t>
      </w:r>
      <w:r w:rsidR="004010DA">
        <w:rPr>
          <w:rFonts w:eastAsia="Times New Roman" w:cs="Arial"/>
          <w:sz w:val="20"/>
        </w:rPr>
        <w:t>.</w:t>
      </w:r>
    </w:p>
    <w:p w14:paraId="24FFAFB5" w14:textId="77777777" w:rsidR="00377F9D" w:rsidRPr="00221DFF" w:rsidRDefault="00377F9D" w:rsidP="00E13CFE">
      <w:pPr>
        <w:rPr>
          <w:rFonts w:eastAsia="Times New Roman" w:cs="Arial"/>
          <w:sz w:val="20"/>
        </w:rPr>
      </w:pPr>
    </w:p>
    <w:p w14:paraId="00047CB6" w14:textId="77777777" w:rsidR="00D47DBD" w:rsidRDefault="00D47DBD" w:rsidP="00AF341B">
      <w:pPr>
        <w:rPr>
          <w:rFonts w:cs="Arial"/>
          <w:b/>
          <w:sz w:val="20"/>
        </w:rPr>
      </w:pPr>
    </w:p>
    <w:p w14:paraId="4731104F" w14:textId="77777777" w:rsidR="00E13CFE" w:rsidRPr="00486B56" w:rsidRDefault="00D47DBD" w:rsidP="00FC0B87">
      <w:pPr>
        <w:pStyle w:val="Heading3"/>
      </w:pPr>
      <w:r w:rsidRPr="00486B56">
        <w:t xml:space="preserve">Cluster </w:t>
      </w:r>
      <w:r w:rsidR="00676EF2" w:rsidRPr="00486B56">
        <w:t>Example</w:t>
      </w:r>
      <w:r w:rsidR="00E13CFE" w:rsidRPr="00486B56">
        <w:t>s</w:t>
      </w:r>
    </w:p>
    <w:p w14:paraId="1C7DACA4" w14:textId="77777777" w:rsidR="00E13CFE" w:rsidRPr="003C75D3" w:rsidRDefault="00E13CFE" w:rsidP="008D56D5">
      <w:pPr>
        <w:pStyle w:val="Heading4"/>
      </w:pPr>
      <w:r w:rsidRPr="003C75D3">
        <w:t>Viruses</w:t>
      </w:r>
    </w:p>
    <w:p w14:paraId="1C54DB55" w14:textId="77777777" w:rsidR="00676EF2" w:rsidRPr="00221DFF" w:rsidRDefault="00676EF2" w:rsidP="00AF341B">
      <w:pPr>
        <w:rPr>
          <w:rFonts w:cs="Arial"/>
          <w:b/>
          <w:sz w:val="20"/>
        </w:rPr>
      </w:pPr>
    </w:p>
    <w:p w14:paraId="7E6F17DA" w14:textId="0A768FEC" w:rsidR="00772D6F" w:rsidRPr="00221DFF" w:rsidRDefault="00772D6F" w:rsidP="00772D6F">
      <w:pPr>
        <w:rPr>
          <w:rFonts w:cs="Arial"/>
          <w:sz w:val="20"/>
        </w:rPr>
      </w:pPr>
      <w:r w:rsidRPr="00221DFF">
        <w:rPr>
          <w:rFonts w:cs="Arial"/>
          <w:sz w:val="20"/>
        </w:rPr>
        <w:t xml:space="preserve">The ease and efficiency of nucleic acid sequencing has led to an abundance of sequence data. </w:t>
      </w:r>
      <w:r w:rsidR="00265448" w:rsidRPr="00221DFF">
        <w:rPr>
          <w:rFonts w:cs="Arial"/>
          <w:sz w:val="20"/>
        </w:rPr>
        <w:t>Because</w:t>
      </w:r>
      <w:r w:rsidRPr="00221DFF">
        <w:rPr>
          <w:rFonts w:cs="Arial"/>
          <w:sz w:val="20"/>
        </w:rPr>
        <w:t xml:space="preserve"> of the relatively small genome size of viruses, the influx of sequence data has been particularly large. Likewise, the ever increasing advancements and publications in virology research </w:t>
      </w:r>
      <w:r w:rsidR="00265448" w:rsidRPr="00221DFF">
        <w:rPr>
          <w:rFonts w:cs="Arial"/>
          <w:sz w:val="20"/>
        </w:rPr>
        <w:t>make</w:t>
      </w:r>
      <w:r w:rsidRPr="00221DFF">
        <w:rPr>
          <w:rFonts w:cs="Arial"/>
          <w:sz w:val="20"/>
        </w:rPr>
        <w:t xml:space="preserve"> it difficult for researchers to keep up with new discoveries in protein structure and function. </w:t>
      </w:r>
      <w:r w:rsidR="0093674C">
        <w:rPr>
          <w:rFonts w:cs="Arial"/>
          <w:sz w:val="20"/>
        </w:rPr>
        <w:t>R</w:t>
      </w:r>
      <w:r w:rsidRPr="00221DFF">
        <w:rPr>
          <w:rFonts w:cs="Arial"/>
          <w:sz w:val="20"/>
        </w:rPr>
        <w:t xml:space="preserve">apid </w:t>
      </w:r>
      <w:r w:rsidR="0093674C">
        <w:rPr>
          <w:rFonts w:cs="Arial"/>
          <w:sz w:val="20"/>
        </w:rPr>
        <w:t xml:space="preserve">viral </w:t>
      </w:r>
      <w:r w:rsidRPr="00221DFF">
        <w:rPr>
          <w:rFonts w:cs="Arial"/>
          <w:sz w:val="20"/>
        </w:rPr>
        <w:t>evolution,</w:t>
      </w:r>
      <w:r w:rsidR="0093674C">
        <w:rPr>
          <w:rFonts w:cs="Arial"/>
          <w:sz w:val="20"/>
        </w:rPr>
        <w:t xml:space="preserve"> combined with the</w:t>
      </w:r>
      <w:r w:rsidRPr="00221DFF">
        <w:rPr>
          <w:rFonts w:cs="Arial"/>
          <w:sz w:val="20"/>
        </w:rPr>
        <w:t xml:space="preserve"> relatively large number of strains and closely related species in most viral families</w:t>
      </w:r>
      <w:r w:rsidR="0093674C">
        <w:rPr>
          <w:rFonts w:cs="Arial"/>
          <w:sz w:val="20"/>
        </w:rPr>
        <w:t>,</w:t>
      </w:r>
      <w:r w:rsidRPr="00221DFF">
        <w:rPr>
          <w:rFonts w:cs="Arial"/>
          <w:sz w:val="20"/>
        </w:rPr>
        <w:t xml:space="preserve"> make</w:t>
      </w:r>
      <w:r w:rsidR="0093674C">
        <w:rPr>
          <w:rFonts w:cs="Arial"/>
          <w:sz w:val="20"/>
        </w:rPr>
        <w:t>s</w:t>
      </w:r>
      <w:r w:rsidRPr="00221DFF">
        <w:rPr>
          <w:rFonts w:cs="Arial"/>
          <w:sz w:val="20"/>
        </w:rPr>
        <w:t xml:space="preserve"> the Protein Clusters resource an ideal channel through which viral Ref</w:t>
      </w:r>
      <w:r w:rsidR="00796A92">
        <w:rPr>
          <w:rFonts w:cs="Arial"/>
          <w:sz w:val="20"/>
        </w:rPr>
        <w:t>S</w:t>
      </w:r>
      <w:r w:rsidRPr="00221DFF">
        <w:rPr>
          <w:rFonts w:cs="Arial"/>
          <w:sz w:val="20"/>
        </w:rPr>
        <w:t>eq genomes can be curated</w:t>
      </w:r>
      <w:r w:rsidR="0093674C">
        <w:rPr>
          <w:rFonts w:cs="Arial"/>
          <w:sz w:val="20"/>
        </w:rPr>
        <w:t>.</w:t>
      </w:r>
    </w:p>
    <w:p w14:paraId="06F30D72" w14:textId="017C00EB" w:rsidR="00772D6F" w:rsidRPr="00221DFF" w:rsidRDefault="00772D6F" w:rsidP="00772D6F">
      <w:pPr>
        <w:rPr>
          <w:rFonts w:cs="Arial"/>
          <w:sz w:val="20"/>
        </w:rPr>
      </w:pPr>
      <w:r w:rsidRPr="00221DFF">
        <w:rPr>
          <w:rFonts w:cs="Arial"/>
          <w:sz w:val="20"/>
        </w:rPr>
        <w:t xml:space="preserve">The </w:t>
      </w:r>
      <w:r w:rsidRPr="00221DFF">
        <w:rPr>
          <w:rFonts w:cs="Arial"/>
          <w:i/>
          <w:sz w:val="20"/>
        </w:rPr>
        <w:t>Poxviridae</w:t>
      </w:r>
      <w:r w:rsidRPr="00221DFF">
        <w:rPr>
          <w:rFonts w:cs="Arial"/>
          <w:sz w:val="20"/>
        </w:rPr>
        <w:t xml:space="preserve"> </w:t>
      </w:r>
      <w:r w:rsidR="00265448" w:rsidRPr="00221DFF">
        <w:rPr>
          <w:rFonts w:cs="Arial"/>
          <w:sz w:val="20"/>
        </w:rPr>
        <w:t>is</w:t>
      </w:r>
      <w:r w:rsidRPr="00221DFF">
        <w:rPr>
          <w:rFonts w:cs="Arial"/>
          <w:sz w:val="20"/>
        </w:rPr>
        <w:t xml:space="preserve"> an example of a virus family with a large set of proteins having varying degrees of similarity in fu</w:t>
      </w:r>
      <w:r w:rsidR="00B37E38">
        <w:rPr>
          <w:rFonts w:cs="Arial"/>
          <w:sz w:val="20"/>
        </w:rPr>
        <w:t>nction, homology</w:t>
      </w:r>
      <w:r w:rsidR="00796A92">
        <w:rPr>
          <w:rFonts w:cs="Arial"/>
          <w:sz w:val="20"/>
        </w:rPr>
        <w:t>,</w:t>
      </w:r>
      <w:r w:rsidR="00B37E38">
        <w:rPr>
          <w:rFonts w:cs="Arial"/>
          <w:sz w:val="20"/>
        </w:rPr>
        <w:t xml:space="preserve"> and structure </w:t>
      </w:r>
      <w:r w:rsidR="00CC7B48">
        <w:rPr>
          <w:rFonts w:cs="Arial"/>
          <w:sz w:val="20"/>
        </w:rPr>
        <w:t>(</w:t>
      </w:r>
      <w:r w:rsidRPr="00221DFF">
        <w:rPr>
          <w:rFonts w:cs="Arial"/>
          <w:sz w:val="20"/>
        </w:rPr>
        <w:t>1</w:t>
      </w:r>
      <w:r w:rsidR="00B37E38">
        <w:rPr>
          <w:rFonts w:cs="Arial"/>
          <w:sz w:val="20"/>
        </w:rPr>
        <w:t>3</w:t>
      </w:r>
      <w:r w:rsidR="00CC7B48">
        <w:rPr>
          <w:rFonts w:cs="Arial"/>
          <w:sz w:val="20"/>
        </w:rPr>
        <w:t>)</w:t>
      </w:r>
      <w:r w:rsidR="00265448" w:rsidRPr="00221DFF">
        <w:rPr>
          <w:rFonts w:cs="Arial"/>
          <w:sz w:val="20"/>
        </w:rPr>
        <w:t>.</w:t>
      </w:r>
      <w:r w:rsidRPr="00221DFF">
        <w:rPr>
          <w:rFonts w:cs="Arial"/>
          <w:sz w:val="20"/>
        </w:rPr>
        <w:t xml:space="preserve"> The poxvirus RNA helicase NPH-II belongs to a family of ubiquitous ATP-dependent helicases that are required for RNA metabolism in bacteria,</w:t>
      </w:r>
      <w:r w:rsidR="00B37E38">
        <w:rPr>
          <w:rFonts w:cs="Arial"/>
          <w:sz w:val="20"/>
        </w:rPr>
        <w:t xml:space="preserve"> eukaryotes</w:t>
      </w:r>
      <w:r w:rsidR="00796A92">
        <w:rPr>
          <w:rFonts w:cs="Arial"/>
          <w:sz w:val="20"/>
        </w:rPr>
        <w:t>,</w:t>
      </w:r>
      <w:r w:rsidR="00B37E38">
        <w:rPr>
          <w:rFonts w:cs="Arial"/>
          <w:sz w:val="20"/>
        </w:rPr>
        <w:t xml:space="preserve"> and many viruses </w:t>
      </w:r>
      <w:r w:rsidR="00CC7B48">
        <w:rPr>
          <w:rFonts w:cs="Arial"/>
          <w:sz w:val="20"/>
        </w:rPr>
        <w:t>(</w:t>
      </w:r>
      <w:r w:rsidR="00B37E38">
        <w:rPr>
          <w:rFonts w:cs="Arial"/>
          <w:sz w:val="20"/>
        </w:rPr>
        <w:t>6</w:t>
      </w:r>
      <w:r w:rsidR="00CC7B48">
        <w:rPr>
          <w:rFonts w:cs="Arial"/>
          <w:sz w:val="20"/>
        </w:rPr>
        <w:t>)</w:t>
      </w:r>
      <w:r w:rsidRPr="00221DFF">
        <w:rPr>
          <w:rFonts w:cs="Arial"/>
          <w:sz w:val="20"/>
        </w:rPr>
        <w:t>. The NPH-II family of helicases found in hepatitis C and various poxviruses have similar sequence, structure</w:t>
      </w:r>
      <w:r w:rsidR="00796A92">
        <w:rPr>
          <w:rFonts w:cs="Arial"/>
          <w:sz w:val="20"/>
        </w:rPr>
        <w:t>,</w:t>
      </w:r>
      <w:r w:rsidRPr="00221DFF">
        <w:rPr>
          <w:rFonts w:cs="Arial"/>
          <w:sz w:val="20"/>
        </w:rPr>
        <w:t xml:space="preserve"> and mechanisms of action that are essential for viral replication. The protein cluster PHA2653 includes 27 NPH-II helicase proteins from various members of the </w:t>
      </w:r>
      <w:r w:rsidRPr="00221DFF">
        <w:rPr>
          <w:rFonts w:cs="Arial"/>
          <w:i/>
          <w:sz w:val="20"/>
        </w:rPr>
        <w:t>Poxviridae</w:t>
      </w:r>
      <w:r w:rsidRPr="00221DFF">
        <w:rPr>
          <w:rFonts w:cs="Arial"/>
          <w:sz w:val="20"/>
        </w:rPr>
        <w:t>. While they share a high level of homology, evolutionary pressures have resulted in changes to both sequence and activity. Of particular interest is the fact that the poxvirus NPH-II belongs to a superfamily, SF2, of which several eukaryotic helicases that play a major role in cellular responses t</w:t>
      </w:r>
      <w:r w:rsidR="00B37E38">
        <w:rPr>
          <w:rFonts w:cs="Arial"/>
          <w:sz w:val="20"/>
        </w:rPr>
        <w:t xml:space="preserve">o viral infection also belong </w:t>
      </w:r>
      <w:r w:rsidR="00CC7B48">
        <w:rPr>
          <w:rFonts w:cs="Arial"/>
          <w:sz w:val="20"/>
        </w:rPr>
        <w:t>(</w:t>
      </w:r>
      <w:r w:rsidR="00B37E38">
        <w:rPr>
          <w:rFonts w:cs="Arial"/>
          <w:sz w:val="20"/>
        </w:rPr>
        <w:t>19</w:t>
      </w:r>
      <w:r w:rsidR="00CC7B48">
        <w:rPr>
          <w:rFonts w:cs="Arial"/>
          <w:sz w:val="20"/>
        </w:rPr>
        <w:t>)</w:t>
      </w:r>
      <w:r w:rsidRPr="00221DFF">
        <w:rPr>
          <w:rFonts w:cs="Arial"/>
          <w:sz w:val="20"/>
        </w:rPr>
        <w:t>. Furthermore, the helicase core domain is a component of the dicer complex which media</w:t>
      </w:r>
      <w:r w:rsidR="00B37E38">
        <w:rPr>
          <w:rFonts w:cs="Arial"/>
          <w:sz w:val="20"/>
        </w:rPr>
        <w:t xml:space="preserve">tes RNAi in higher eukaryotes </w:t>
      </w:r>
      <w:r w:rsidR="00CC7B48">
        <w:rPr>
          <w:rFonts w:cs="Arial"/>
          <w:sz w:val="20"/>
        </w:rPr>
        <w:t>(</w:t>
      </w:r>
      <w:r w:rsidR="00B37E38">
        <w:rPr>
          <w:rFonts w:cs="Arial"/>
          <w:sz w:val="20"/>
        </w:rPr>
        <w:t>9</w:t>
      </w:r>
      <w:r w:rsidR="00CC7B48">
        <w:rPr>
          <w:rFonts w:cs="Arial"/>
          <w:sz w:val="20"/>
        </w:rPr>
        <w:t>)</w:t>
      </w:r>
      <w:r w:rsidRPr="00221DFF">
        <w:rPr>
          <w:rFonts w:cs="Arial"/>
          <w:sz w:val="20"/>
        </w:rPr>
        <w:t xml:space="preserve">. Therefore, it stands to reason that </w:t>
      </w:r>
      <w:r w:rsidRPr="00221DFF">
        <w:rPr>
          <w:rFonts w:cs="Arial"/>
          <w:sz w:val="20"/>
        </w:rPr>
        <w:lastRenderedPageBreak/>
        <w:t xml:space="preserve">study of the NPH-II helicases of the </w:t>
      </w:r>
      <w:r w:rsidRPr="00221DFF">
        <w:rPr>
          <w:rFonts w:cs="Arial"/>
          <w:i/>
          <w:sz w:val="20"/>
        </w:rPr>
        <w:t>Poxviridae</w:t>
      </w:r>
      <w:r w:rsidRPr="00221DFF">
        <w:rPr>
          <w:rFonts w:cs="Arial"/>
          <w:sz w:val="20"/>
        </w:rPr>
        <w:t xml:space="preserve"> can serve as a model for understanding several distinct biological processes.</w:t>
      </w:r>
    </w:p>
    <w:p w14:paraId="35577CA5" w14:textId="77777777" w:rsidR="00B017D7" w:rsidRPr="00221DFF" w:rsidRDefault="00B017D7" w:rsidP="00772D6F">
      <w:pPr>
        <w:rPr>
          <w:rFonts w:cs="Arial"/>
          <w:sz w:val="20"/>
        </w:rPr>
      </w:pPr>
    </w:p>
    <w:p w14:paraId="7855A28D" w14:textId="37662DBC" w:rsidR="00B017D7" w:rsidRPr="00221DFF" w:rsidRDefault="00B017D7" w:rsidP="00B017D7">
      <w:pPr>
        <w:rPr>
          <w:rFonts w:cs="Arial"/>
          <w:sz w:val="20"/>
        </w:rPr>
      </w:pPr>
      <w:r w:rsidRPr="00221DFF">
        <w:rPr>
          <w:rFonts w:cs="Arial"/>
          <w:sz w:val="20"/>
        </w:rPr>
        <w:t>Frequently, several alternative names are used for viral proteins; this variation can lead to confusion for researchers and slow scientific progress. To standardize protein names</w:t>
      </w:r>
      <w:r w:rsidR="0093674C">
        <w:rPr>
          <w:rFonts w:cs="Arial"/>
          <w:sz w:val="20"/>
        </w:rPr>
        <w:t>,</w:t>
      </w:r>
      <w:r w:rsidRPr="00221DFF">
        <w:rPr>
          <w:rFonts w:cs="Arial"/>
          <w:sz w:val="20"/>
        </w:rPr>
        <w:t xml:space="preserve"> NCBI staff (viral genome curators) work closely with vir</w:t>
      </w:r>
      <w:r w:rsidR="00D47DBD">
        <w:rPr>
          <w:rFonts w:cs="Arial"/>
          <w:sz w:val="20"/>
        </w:rPr>
        <w:t>al protein experts from UniProt</w:t>
      </w:r>
      <w:r w:rsidRPr="00221DFF">
        <w:rPr>
          <w:rFonts w:cs="Arial"/>
          <w:sz w:val="20"/>
        </w:rPr>
        <w:t>. Such collaboration</w:t>
      </w:r>
      <w:r w:rsidR="0093674C">
        <w:rPr>
          <w:rFonts w:cs="Arial"/>
          <w:sz w:val="20"/>
        </w:rPr>
        <w:t>s have</w:t>
      </w:r>
      <w:r w:rsidRPr="00221DFF">
        <w:rPr>
          <w:rFonts w:cs="Arial"/>
          <w:sz w:val="20"/>
        </w:rPr>
        <w:t xml:space="preserve"> resulted in functional naming for viral protein clusters from the family </w:t>
      </w:r>
      <w:r w:rsidRPr="009E7698">
        <w:rPr>
          <w:rFonts w:cs="Arial"/>
          <w:i/>
          <w:sz w:val="20"/>
        </w:rPr>
        <w:t>Adenoviridae</w:t>
      </w:r>
      <w:r w:rsidRPr="00221DFF">
        <w:rPr>
          <w:rFonts w:cs="Arial"/>
          <w:sz w:val="20"/>
        </w:rPr>
        <w:t xml:space="preserve">. One of their representatives is cluster PHA3614. It combines related and highly conserved proteins from the genus </w:t>
      </w:r>
      <w:r w:rsidRPr="00FC0B87">
        <w:rPr>
          <w:rFonts w:cs="Arial"/>
          <w:i/>
          <w:sz w:val="20"/>
        </w:rPr>
        <w:t>Mastadenovirus</w:t>
      </w:r>
      <w:r w:rsidRPr="00221DFF">
        <w:rPr>
          <w:rFonts w:cs="Arial"/>
          <w:sz w:val="20"/>
        </w:rPr>
        <w:t xml:space="preserve">, which presumably play </w:t>
      </w:r>
      <w:r w:rsidR="0093674C">
        <w:rPr>
          <w:rFonts w:cs="Arial"/>
          <w:sz w:val="20"/>
        </w:rPr>
        <w:t xml:space="preserve">an </w:t>
      </w:r>
      <w:r w:rsidRPr="00221DFF">
        <w:rPr>
          <w:rFonts w:cs="Arial"/>
          <w:sz w:val="20"/>
        </w:rPr>
        <w:t>important role in host mod</w:t>
      </w:r>
      <w:r w:rsidR="00B37E38">
        <w:rPr>
          <w:rFonts w:cs="Arial"/>
          <w:sz w:val="20"/>
        </w:rPr>
        <w:t xml:space="preserve">ulation </w:t>
      </w:r>
      <w:r w:rsidR="00CC7B48">
        <w:rPr>
          <w:rFonts w:cs="Arial"/>
          <w:sz w:val="20"/>
        </w:rPr>
        <w:t>(</w:t>
      </w:r>
      <w:r w:rsidR="00B37E38">
        <w:rPr>
          <w:rFonts w:cs="Arial"/>
          <w:sz w:val="20"/>
        </w:rPr>
        <w:t>11</w:t>
      </w:r>
      <w:r w:rsidR="00CC7B48">
        <w:rPr>
          <w:rFonts w:cs="Arial"/>
          <w:sz w:val="20"/>
        </w:rPr>
        <w:t>)</w:t>
      </w:r>
      <w:r w:rsidRPr="00221DFF">
        <w:rPr>
          <w:rFonts w:cs="Arial"/>
          <w:sz w:val="20"/>
        </w:rPr>
        <w:t xml:space="preserve">. The old, commonly used name of proteins from </w:t>
      </w:r>
      <w:r w:rsidR="004F3528">
        <w:rPr>
          <w:rFonts w:cs="Arial"/>
          <w:sz w:val="20"/>
        </w:rPr>
        <w:t xml:space="preserve">the </w:t>
      </w:r>
      <w:r w:rsidRPr="00221DFF">
        <w:rPr>
          <w:rFonts w:cs="Arial"/>
          <w:sz w:val="20"/>
        </w:rPr>
        <w:t xml:space="preserve">PHA3614 cluster was </w:t>
      </w:r>
      <w:r w:rsidR="004F3528">
        <w:rPr>
          <w:rFonts w:cs="Arial"/>
          <w:sz w:val="20"/>
        </w:rPr>
        <w:t xml:space="preserve">the </w:t>
      </w:r>
      <w:r w:rsidRPr="00221DFF">
        <w:rPr>
          <w:rFonts w:cs="Arial"/>
          <w:sz w:val="20"/>
        </w:rPr>
        <w:t xml:space="preserve">E3 12.5 kDa protein. Because the size of </w:t>
      </w:r>
      <w:r w:rsidR="0093674C">
        <w:rPr>
          <w:rFonts w:cs="Arial"/>
          <w:sz w:val="20"/>
        </w:rPr>
        <w:t xml:space="preserve">the </w:t>
      </w:r>
      <w:r w:rsidRPr="00221DFF">
        <w:rPr>
          <w:rFonts w:cs="Arial"/>
          <w:sz w:val="20"/>
        </w:rPr>
        <w:t>protein could vary in different viruses without its biological role</w:t>
      </w:r>
      <w:r w:rsidR="004F3528">
        <w:rPr>
          <w:rFonts w:cs="Arial"/>
          <w:sz w:val="20"/>
        </w:rPr>
        <w:t xml:space="preserve"> changing</w:t>
      </w:r>
      <w:r w:rsidRPr="00221DFF">
        <w:rPr>
          <w:rFonts w:cs="Arial"/>
          <w:sz w:val="20"/>
        </w:rPr>
        <w:t xml:space="preserve">, the molecular mass, as a component of protein name, </w:t>
      </w:r>
      <w:r w:rsidR="004F3528">
        <w:rPr>
          <w:rFonts w:cs="Arial"/>
          <w:sz w:val="20"/>
        </w:rPr>
        <w:t>was</w:t>
      </w:r>
      <w:r w:rsidR="004F3528" w:rsidRPr="00221DFF">
        <w:rPr>
          <w:rFonts w:cs="Arial"/>
          <w:sz w:val="20"/>
        </w:rPr>
        <w:t xml:space="preserve"> </w:t>
      </w:r>
      <w:r w:rsidRPr="00221DFF">
        <w:rPr>
          <w:rFonts w:cs="Arial"/>
          <w:sz w:val="20"/>
        </w:rPr>
        <w:t>not informative and</w:t>
      </w:r>
      <w:r w:rsidR="0093674C">
        <w:rPr>
          <w:rFonts w:cs="Arial"/>
          <w:sz w:val="20"/>
        </w:rPr>
        <w:t xml:space="preserve"> could be</w:t>
      </w:r>
      <w:r w:rsidRPr="00221DFF">
        <w:rPr>
          <w:rFonts w:cs="Arial"/>
          <w:sz w:val="20"/>
        </w:rPr>
        <w:t xml:space="preserve"> misleading. Therefore we proposed a new, functional name for this cluster</w:t>
      </w:r>
      <w:r w:rsidR="0093674C">
        <w:rPr>
          <w:rFonts w:cs="Arial"/>
          <w:sz w:val="20"/>
        </w:rPr>
        <w:t>:</w:t>
      </w:r>
      <w:r w:rsidRPr="00221DFF">
        <w:rPr>
          <w:rFonts w:cs="Arial"/>
          <w:sz w:val="20"/>
        </w:rPr>
        <w:t xml:space="preserve"> “putative host modulation protein E3</w:t>
      </w:r>
      <w:r w:rsidR="004F3528">
        <w:rPr>
          <w:rFonts w:cs="Arial"/>
          <w:sz w:val="20"/>
        </w:rPr>
        <w:t>.</w:t>
      </w:r>
      <w:r w:rsidRPr="00221DFF">
        <w:rPr>
          <w:rFonts w:cs="Arial"/>
          <w:sz w:val="20"/>
        </w:rPr>
        <w:t xml:space="preserve">” All existing synonyms were included in the cluster’s functional description. Since the existence of the putative host modulation protein E3 was experimentally supported only for </w:t>
      </w:r>
      <w:r w:rsidR="004F3528">
        <w:rPr>
          <w:rFonts w:cs="Arial"/>
          <w:sz w:val="20"/>
        </w:rPr>
        <w:t>h</w:t>
      </w:r>
      <w:r w:rsidR="004F3528" w:rsidRPr="00221DFF">
        <w:rPr>
          <w:rFonts w:cs="Arial"/>
          <w:sz w:val="20"/>
        </w:rPr>
        <w:t xml:space="preserve">uman </w:t>
      </w:r>
      <w:r w:rsidRPr="00221DFF">
        <w:rPr>
          <w:rFonts w:cs="Arial"/>
          <w:sz w:val="20"/>
        </w:rPr>
        <w:t xml:space="preserve">adenovirus 2 and </w:t>
      </w:r>
      <w:r w:rsidR="004F3528">
        <w:rPr>
          <w:rFonts w:cs="Arial"/>
          <w:sz w:val="20"/>
        </w:rPr>
        <w:t>h</w:t>
      </w:r>
      <w:r w:rsidR="004F3528" w:rsidRPr="00221DFF">
        <w:rPr>
          <w:rFonts w:cs="Arial"/>
          <w:sz w:val="20"/>
        </w:rPr>
        <w:t xml:space="preserve">uman </w:t>
      </w:r>
      <w:r w:rsidRPr="00221DFF">
        <w:rPr>
          <w:rFonts w:cs="Arial"/>
          <w:sz w:val="20"/>
        </w:rPr>
        <w:t>adenovirus 5, this information was also included in the description of the cluster.</w:t>
      </w:r>
      <w:r w:rsidR="00B926A5">
        <w:rPr>
          <w:rFonts w:cs="Arial"/>
          <w:sz w:val="20"/>
        </w:rPr>
        <w:t xml:space="preserve"> </w:t>
      </w:r>
      <w:r w:rsidR="00AB119F">
        <w:rPr>
          <w:rFonts w:cs="Arial"/>
          <w:sz w:val="20"/>
        </w:rPr>
        <w:t>These changes will be visible with</w:t>
      </w:r>
      <w:r w:rsidR="007A72E3">
        <w:rPr>
          <w:rFonts w:cs="Arial"/>
          <w:sz w:val="20"/>
        </w:rPr>
        <w:t xml:space="preserve"> the next cluster update.</w:t>
      </w:r>
    </w:p>
    <w:p w14:paraId="0849E88C" w14:textId="77777777" w:rsidR="00B017D7" w:rsidRPr="00221DFF" w:rsidRDefault="00B017D7" w:rsidP="00772D6F">
      <w:pPr>
        <w:rPr>
          <w:rFonts w:cs="Arial"/>
          <w:sz w:val="20"/>
        </w:rPr>
      </w:pPr>
    </w:p>
    <w:p w14:paraId="166AF6F0" w14:textId="77777777" w:rsidR="009E2F27" w:rsidRPr="00221DFF" w:rsidRDefault="009E2F27" w:rsidP="00AF341B">
      <w:pPr>
        <w:rPr>
          <w:rFonts w:cs="Arial"/>
          <w:b/>
          <w:sz w:val="20"/>
        </w:rPr>
      </w:pPr>
    </w:p>
    <w:p w14:paraId="209011E2" w14:textId="77777777" w:rsidR="008B105A" w:rsidRPr="003C75D3" w:rsidRDefault="00676EF2" w:rsidP="008D56D5">
      <w:pPr>
        <w:pStyle w:val="Heading4"/>
      </w:pPr>
      <w:r w:rsidRPr="003C75D3">
        <w:t>Protozoa</w:t>
      </w:r>
    </w:p>
    <w:p w14:paraId="520AC386" w14:textId="77777777" w:rsidR="00486B56" w:rsidRPr="00221DFF" w:rsidRDefault="00486B56" w:rsidP="00A11C82">
      <w:pPr>
        <w:rPr>
          <w:rFonts w:cs="Arial"/>
          <w:b/>
          <w:sz w:val="20"/>
        </w:rPr>
      </w:pPr>
    </w:p>
    <w:p w14:paraId="01FBBCE8" w14:textId="0630C3B8" w:rsidR="00A11C82" w:rsidRDefault="00A11C82" w:rsidP="00A11C82">
      <w:pPr>
        <w:rPr>
          <w:rFonts w:cs="Arial"/>
          <w:sz w:val="20"/>
        </w:rPr>
      </w:pPr>
      <w:r w:rsidRPr="00221DFF">
        <w:rPr>
          <w:rFonts w:cs="Arial"/>
          <w:sz w:val="20"/>
        </w:rPr>
        <w:t xml:space="preserve">The following is an example of the significance of publication links in a cluster of proteins as a </w:t>
      </w:r>
      <w:r w:rsidR="00F44736" w:rsidRPr="00221DFF">
        <w:rPr>
          <w:rFonts w:cs="Arial"/>
          <w:sz w:val="20"/>
        </w:rPr>
        <w:t>tool</w:t>
      </w:r>
      <w:r w:rsidR="00F44736">
        <w:rPr>
          <w:rFonts w:cs="Arial"/>
          <w:sz w:val="20"/>
        </w:rPr>
        <w:t xml:space="preserve"> </w:t>
      </w:r>
      <w:r w:rsidR="00F44736" w:rsidRPr="00221DFF">
        <w:rPr>
          <w:rFonts w:cs="Arial"/>
          <w:sz w:val="20"/>
        </w:rPr>
        <w:t>to</w:t>
      </w:r>
      <w:r w:rsidRPr="00221DFF">
        <w:rPr>
          <w:rFonts w:cs="Arial"/>
          <w:sz w:val="20"/>
        </w:rPr>
        <w:t xml:space="preserve"> identify orthologs and paralogs.</w:t>
      </w:r>
    </w:p>
    <w:p w14:paraId="318ABFDD" w14:textId="77777777" w:rsidR="00A0742A" w:rsidRDefault="00A0742A" w:rsidP="00A11C82">
      <w:pPr>
        <w:rPr>
          <w:rFonts w:cs="Arial"/>
          <w:sz w:val="20"/>
        </w:rPr>
      </w:pPr>
    </w:p>
    <w:p w14:paraId="32EF41E0" w14:textId="77777777" w:rsidR="00A0742A" w:rsidRPr="00221DFF" w:rsidRDefault="00A0742A" w:rsidP="00A11C82">
      <w:pPr>
        <w:rPr>
          <w:rFonts w:cs="Arial"/>
          <w:sz w:val="20"/>
        </w:rPr>
      </w:pPr>
    </w:p>
    <w:p w14:paraId="1FBF0EE3" w14:textId="77777777" w:rsidR="00A0742A" w:rsidRDefault="00A0742A" w:rsidP="00A11C82">
      <w:pPr>
        <w:rPr>
          <w:rFonts w:cs="Arial"/>
          <w:sz w:val="20"/>
        </w:rPr>
      </w:pPr>
      <w:r>
        <w:rPr>
          <w:rFonts w:cs="Arial"/>
          <w:noProof/>
          <w:sz w:val="20"/>
        </w:rPr>
        <w:drawing>
          <wp:inline distT="0" distB="0" distL="0" distR="0" wp14:anchorId="37D8F523" wp14:editId="19410CD2">
            <wp:extent cx="6400800" cy="4277995"/>
            <wp:effectExtent l="0" t="0" r="0" b="8255"/>
            <wp:docPr id="3096" name="Picture 3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tozoa.png"/>
                    <pic:cNvPicPr/>
                  </pic:nvPicPr>
                  <pic:blipFill>
                    <a:blip r:embed="rId14">
                      <a:extLst>
                        <a:ext uri="{28A0092B-C50C-407E-A947-70E740481C1C}">
                          <a14:useLocalDpi xmlns:a14="http://schemas.microsoft.com/office/drawing/2010/main" val="0"/>
                        </a:ext>
                      </a:extLst>
                    </a:blip>
                    <a:stretch>
                      <a:fillRect/>
                    </a:stretch>
                  </pic:blipFill>
                  <pic:spPr>
                    <a:xfrm>
                      <a:off x="0" y="0"/>
                      <a:ext cx="6400800" cy="4277995"/>
                    </a:xfrm>
                    <a:prstGeom prst="rect">
                      <a:avLst/>
                    </a:prstGeom>
                  </pic:spPr>
                </pic:pic>
              </a:graphicData>
            </a:graphic>
          </wp:inline>
        </w:drawing>
      </w:r>
    </w:p>
    <w:p w14:paraId="7FAACC24" w14:textId="77777777" w:rsidR="00A0742A" w:rsidRPr="00221DFF" w:rsidRDefault="00A0742A" w:rsidP="00A11C82">
      <w:pPr>
        <w:rPr>
          <w:rFonts w:cs="Arial"/>
          <w:sz w:val="20"/>
        </w:rPr>
      </w:pPr>
    </w:p>
    <w:p w14:paraId="56666B53" w14:textId="1218CA56" w:rsidR="00A11C82" w:rsidRPr="00221DFF" w:rsidRDefault="00A11C82" w:rsidP="00A11C82">
      <w:pPr>
        <w:rPr>
          <w:rFonts w:cs="Arial"/>
          <w:sz w:val="20"/>
        </w:rPr>
      </w:pPr>
      <w:r w:rsidRPr="00221DFF">
        <w:rPr>
          <w:rFonts w:cs="Arial"/>
          <w:sz w:val="20"/>
        </w:rPr>
        <w:t xml:space="preserve">This is a cysteine protease, originally identified and characterized in </w:t>
      </w:r>
      <w:r w:rsidRPr="009E7698">
        <w:rPr>
          <w:rFonts w:cs="Arial"/>
          <w:i/>
          <w:sz w:val="20"/>
        </w:rPr>
        <w:t>Plasmodium falciparum</w:t>
      </w:r>
      <w:r w:rsidRPr="00221DFF">
        <w:rPr>
          <w:rFonts w:cs="Arial"/>
          <w:sz w:val="20"/>
        </w:rPr>
        <w:t xml:space="preserve">; it </w:t>
      </w:r>
      <w:r w:rsidR="00620290" w:rsidRPr="00221DFF">
        <w:rPr>
          <w:rFonts w:cs="Arial"/>
          <w:sz w:val="20"/>
        </w:rPr>
        <w:t>hydrolyses</w:t>
      </w:r>
      <w:r w:rsidRPr="00221DFF">
        <w:rPr>
          <w:rFonts w:cs="Arial"/>
          <w:sz w:val="20"/>
        </w:rPr>
        <w:t xml:space="preserve"> the erythrocyte hemoglobin into its amino</w:t>
      </w:r>
      <w:r w:rsidR="00CC24F1">
        <w:rPr>
          <w:rFonts w:cs="Arial"/>
          <w:sz w:val="20"/>
        </w:rPr>
        <w:t xml:space="preserve"> </w:t>
      </w:r>
      <w:r w:rsidRPr="00221DFF">
        <w:rPr>
          <w:rFonts w:cs="Arial"/>
          <w:sz w:val="20"/>
        </w:rPr>
        <w:t xml:space="preserve">acid constituents, which are used by the parasite for protein synthesis. In this cluster of proteins, </w:t>
      </w:r>
      <w:r w:rsidR="004F3528">
        <w:rPr>
          <w:rFonts w:cs="Arial"/>
          <w:sz w:val="20"/>
        </w:rPr>
        <w:t>“</w:t>
      </w:r>
      <w:r w:rsidRPr="00221DFF">
        <w:rPr>
          <w:rFonts w:cs="Arial"/>
          <w:sz w:val="20"/>
        </w:rPr>
        <w:t>facipain</w:t>
      </w:r>
      <w:r w:rsidR="004F3528">
        <w:rPr>
          <w:rFonts w:cs="Arial"/>
          <w:sz w:val="20"/>
        </w:rPr>
        <w:t>”</w:t>
      </w:r>
      <w:r w:rsidRPr="00221DFF">
        <w:rPr>
          <w:rFonts w:cs="Arial"/>
          <w:sz w:val="20"/>
        </w:rPr>
        <w:t xml:space="preserve"> is present in 4 different </w:t>
      </w:r>
      <w:r w:rsidRPr="00FC0B87">
        <w:rPr>
          <w:rFonts w:cs="Arial"/>
          <w:i/>
          <w:sz w:val="20"/>
        </w:rPr>
        <w:t>Plasmodium</w:t>
      </w:r>
      <w:r w:rsidRPr="00221DFF">
        <w:rPr>
          <w:rFonts w:cs="Arial"/>
          <w:sz w:val="20"/>
        </w:rPr>
        <w:t xml:space="preserve"> species. Falcipain-2 differs from the falcipains in other species (i.e., vivapain -2 and -3, berghepain, etc.,) as well as within the </w:t>
      </w:r>
      <w:r w:rsidRPr="009E7698">
        <w:rPr>
          <w:rFonts w:cs="Arial"/>
          <w:i/>
          <w:sz w:val="20"/>
        </w:rPr>
        <w:t>P. falciparum</w:t>
      </w:r>
      <w:r w:rsidRPr="00221DFF">
        <w:rPr>
          <w:rFonts w:cs="Arial"/>
          <w:sz w:val="20"/>
        </w:rPr>
        <w:t xml:space="preserve"> (i.e., </w:t>
      </w:r>
      <w:r w:rsidRPr="00221DFF">
        <w:rPr>
          <w:rFonts w:cs="Arial"/>
          <w:sz w:val="20"/>
        </w:rPr>
        <w:lastRenderedPageBreak/>
        <w:t>falcipain -3) in sequence, in the timing of expression and in the acidic environment needed for enzymatic activation, but they all appear to have the same f</w:t>
      </w:r>
      <w:r w:rsidR="007A0F85">
        <w:rPr>
          <w:rFonts w:cs="Arial"/>
          <w:sz w:val="20"/>
        </w:rPr>
        <w:t xml:space="preserve">unction </w:t>
      </w:r>
      <w:r w:rsidR="00CC7B48">
        <w:rPr>
          <w:rFonts w:cs="Arial"/>
          <w:sz w:val="20"/>
        </w:rPr>
        <w:t>(</w:t>
      </w:r>
      <w:r w:rsidR="007A0F85">
        <w:rPr>
          <w:rFonts w:cs="Arial"/>
          <w:sz w:val="20"/>
        </w:rPr>
        <w:t>20</w:t>
      </w:r>
      <w:r w:rsidR="00CC7B48">
        <w:rPr>
          <w:rFonts w:cs="Arial"/>
          <w:sz w:val="20"/>
        </w:rPr>
        <w:t>)</w:t>
      </w:r>
      <w:r w:rsidRPr="00221DFF">
        <w:rPr>
          <w:rFonts w:cs="Arial"/>
          <w:sz w:val="20"/>
        </w:rPr>
        <w:t xml:space="preserve">. Interestingly, the two </w:t>
      </w:r>
      <w:r w:rsidRPr="009E7698">
        <w:rPr>
          <w:rFonts w:cs="Arial"/>
          <w:i/>
          <w:sz w:val="20"/>
        </w:rPr>
        <w:t>P. falciparum</w:t>
      </w:r>
      <w:r w:rsidRPr="00221DFF">
        <w:rPr>
          <w:rFonts w:cs="Arial"/>
          <w:sz w:val="20"/>
        </w:rPr>
        <w:t xml:space="preserve"> falcipain-2 proteins in this cluster are each located in a different part of chromosome 11, although they share high amino</w:t>
      </w:r>
      <w:r w:rsidR="00CC24F1">
        <w:rPr>
          <w:rFonts w:cs="Arial"/>
          <w:sz w:val="20"/>
        </w:rPr>
        <w:t xml:space="preserve"> </w:t>
      </w:r>
      <w:r w:rsidRPr="00221DFF">
        <w:rPr>
          <w:rFonts w:cs="Arial"/>
          <w:sz w:val="20"/>
        </w:rPr>
        <w:t>acid sequence homology and</w:t>
      </w:r>
      <w:r w:rsidR="00CC24F1">
        <w:rPr>
          <w:rFonts w:cs="Arial"/>
          <w:sz w:val="20"/>
        </w:rPr>
        <w:t xml:space="preserve"> a</w:t>
      </w:r>
      <w:r w:rsidRPr="00221DFF">
        <w:rPr>
          <w:rFonts w:cs="Arial"/>
          <w:sz w:val="20"/>
        </w:rPr>
        <w:t xml:space="preserve"> seemingly identical function. The differences here also appear to be in expression timing and in </w:t>
      </w:r>
      <w:r w:rsidR="00CC24F1">
        <w:rPr>
          <w:rFonts w:cs="Arial"/>
          <w:sz w:val="20"/>
        </w:rPr>
        <w:t>the level of</w:t>
      </w:r>
      <w:r w:rsidR="00CC24F1" w:rsidRPr="00221DFF">
        <w:rPr>
          <w:rFonts w:cs="Arial"/>
          <w:sz w:val="20"/>
        </w:rPr>
        <w:t xml:space="preserve"> </w:t>
      </w:r>
      <w:r w:rsidRPr="00221DFF">
        <w:rPr>
          <w:rFonts w:cs="Arial"/>
          <w:sz w:val="20"/>
        </w:rPr>
        <w:t>express</w:t>
      </w:r>
      <w:r w:rsidR="00CC24F1">
        <w:rPr>
          <w:rFonts w:cs="Arial"/>
          <w:sz w:val="20"/>
        </w:rPr>
        <w:t>ion</w:t>
      </w:r>
      <w:r w:rsidRPr="00221DFF">
        <w:rPr>
          <w:rFonts w:cs="Arial"/>
          <w:sz w:val="20"/>
        </w:rPr>
        <w:t xml:space="preserve">. Falcipain-2A (PF11_0165) appears to be expressed earlier in the trophozoite stage and in higher amounts than falcipain-2B (PF-11_0161) </w:t>
      </w:r>
      <w:r w:rsidR="00CC7B48">
        <w:rPr>
          <w:rFonts w:cs="Arial"/>
          <w:sz w:val="20"/>
        </w:rPr>
        <w:t>(</w:t>
      </w:r>
      <w:r w:rsidR="00B37E38">
        <w:rPr>
          <w:rFonts w:cs="Arial"/>
          <w:sz w:val="20"/>
        </w:rPr>
        <w:t>10, 20</w:t>
      </w:r>
      <w:r w:rsidR="00CC7B48">
        <w:rPr>
          <w:rFonts w:cs="Arial"/>
          <w:sz w:val="20"/>
        </w:rPr>
        <w:t>)</w:t>
      </w:r>
      <w:r w:rsidR="00B37E38">
        <w:rPr>
          <w:rFonts w:cs="Arial"/>
          <w:sz w:val="20"/>
        </w:rPr>
        <w:t>.</w:t>
      </w:r>
      <w:r w:rsidRPr="00221DFF">
        <w:rPr>
          <w:rFonts w:cs="Arial"/>
          <w:sz w:val="20"/>
        </w:rPr>
        <w:t xml:space="preserve"> </w:t>
      </w:r>
    </w:p>
    <w:p w14:paraId="32303EDF" w14:textId="77777777" w:rsidR="00A11C82" w:rsidRDefault="00A11C82" w:rsidP="00A11C82">
      <w:pPr>
        <w:rPr>
          <w:rFonts w:cs="Arial"/>
          <w:sz w:val="20"/>
        </w:rPr>
      </w:pPr>
      <w:r w:rsidRPr="00221DFF">
        <w:rPr>
          <w:rFonts w:cs="Arial"/>
          <w:sz w:val="20"/>
        </w:rPr>
        <w:t>Also of interest is the fact that cysteine protease inhibitors have been shown to have potent anti-malarial effects. Indeed, because this family of proteases shares low sequence identity with their human counterparts, they have been given serious consideration as potential drug targets.</w:t>
      </w:r>
    </w:p>
    <w:p w14:paraId="3D4C3382" w14:textId="77777777" w:rsidR="0096381C" w:rsidRDefault="0096381C" w:rsidP="00A11C82">
      <w:pPr>
        <w:rPr>
          <w:rFonts w:cs="Arial"/>
          <w:b/>
          <w:sz w:val="20"/>
        </w:rPr>
      </w:pPr>
    </w:p>
    <w:p w14:paraId="2F60D9E5" w14:textId="77777777" w:rsidR="00B55147" w:rsidRPr="003C75D3" w:rsidRDefault="00B55147" w:rsidP="008D56D5">
      <w:pPr>
        <w:pStyle w:val="Heading4"/>
      </w:pPr>
      <w:r w:rsidRPr="003C75D3">
        <w:t>Plants</w:t>
      </w:r>
    </w:p>
    <w:p w14:paraId="3193ED99" w14:textId="77777777" w:rsidR="00676EF2" w:rsidRPr="00221DFF" w:rsidRDefault="00676EF2" w:rsidP="00A11C82">
      <w:pPr>
        <w:rPr>
          <w:rFonts w:cs="Arial"/>
          <w:sz w:val="20"/>
        </w:rPr>
      </w:pPr>
    </w:p>
    <w:p w14:paraId="130EE465" w14:textId="399FB34D" w:rsidR="0096381C" w:rsidRPr="00486B56" w:rsidRDefault="00953490" w:rsidP="00FC7A84">
      <w:pPr>
        <w:rPr>
          <w:noProof/>
        </w:rPr>
      </w:pPr>
      <w:r w:rsidRPr="00221DFF">
        <w:rPr>
          <w:rFonts w:cs="Arial"/>
          <w:sz w:val="20"/>
        </w:rPr>
        <w:t>Although protein clustering is not specifically geared towards clustering for orthologs or paralogs, clustering does provide a view into how different proteins are related</w:t>
      </w:r>
      <w:r w:rsidR="007F3A6C">
        <w:rPr>
          <w:rFonts w:cs="Arial"/>
          <w:sz w:val="20"/>
        </w:rPr>
        <w:t xml:space="preserve"> as seen in the cluster PLN03595 shown below.</w:t>
      </w:r>
    </w:p>
    <w:p w14:paraId="3D5CBA0D" w14:textId="77777777" w:rsidR="0096381C" w:rsidRDefault="0096381C" w:rsidP="00FC7A84">
      <w:pPr>
        <w:rPr>
          <w:rFonts w:cs="Arial"/>
          <w:sz w:val="20"/>
        </w:rPr>
      </w:pPr>
    </w:p>
    <w:p w14:paraId="295A69E1" w14:textId="58EF4106" w:rsidR="003F1951" w:rsidRDefault="00E72357" w:rsidP="00FC7A84">
      <w:pPr>
        <w:rPr>
          <w:rFonts w:cs="Arial"/>
          <w:sz w:val="20"/>
        </w:rPr>
      </w:pPr>
      <w:r>
        <w:rPr>
          <w:rFonts w:cs="Arial"/>
          <w:noProof/>
          <w:sz w:val="20"/>
        </w:rPr>
        <w:drawing>
          <wp:inline distT="0" distB="0" distL="0" distR="0" wp14:anchorId="6D9E7166" wp14:editId="1B2AEBAB">
            <wp:extent cx="3154449" cy="3731333"/>
            <wp:effectExtent l="0" t="0" r="8255"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c_ig2a.png"/>
                    <pic:cNvPicPr/>
                  </pic:nvPicPr>
                  <pic:blipFill>
                    <a:blip r:embed="rId15">
                      <a:extLst>
                        <a:ext uri="{28A0092B-C50C-407E-A947-70E740481C1C}">
                          <a14:useLocalDpi xmlns:a14="http://schemas.microsoft.com/office/drawing/2010/main" val="0"/>
                        </a:ext>
                      </a:extLst>
                    </a:blip>
                    <a:stretch>
                      <a:fillRect/>
                    </a:stretch>
                  </pic:blipFill>
                  <pic:spPr>
                    <a:xfrm>
                      <a:off x="0" y="0"/>
                      <a:ext cx="3154449" cy="3731333"/>
                    </a:xfrm>
                    <a:prstGeom prst="rect">
                      <a:avLst/>
                    </a:prstGeom>
                  </pic:spPr>
                </pic:pic>
              </a:graphicData>
            </a:graphic>
          </wp:inline>
        </w:drawing>
      </w:r>
    </w:p>
    <w:p w14:paraId="0C9C9876" w14:textId="77777777" w:rsidR="003F1951" w:rsidRDefault="003F1951" w:rsidP="00FC7A84">
      <w:pPr>
        <w:rPr>
          <w:rFonts w:cs="Arial"/>
          <w:sz w:val="20"/>
        </w:rPr>
      </w:pPr>
    </w:p>
    <w:p w14:paraId="0536BF5B" w14:textId="6183C248" w:rsidR="00E72357" w:rsidRDefault="00E72357" w:rsidP="00FC7A84">
      <w:pPr>
        <w:rPr>
          <w:rFonts w:cs="Arial"/>
          <w:sz w:val="20"/>
        </w:rPr>
      </w:pPr>
      <w:r>
        <w:rPr>
          <w:rFonts w:cs="Arial"/>
          <w:noProof/>
          <w:sz w:val="20"/>
        </w:rPr>
        <w:lastRenderedPageBreak/>
        <w:drawing>
          <wp:inline distT="0" distB="0" distL="0" distR="0" wp14:anchorId="16C1402A" wp14:editId="347DE60B">
            <wp:extent cx="3142175" cy="2761677"/>
            <wp:effectExtent l="0" t="0" r="127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c_ig2b.png"/>
                    <pic:cNvPicPr/>
                  </pic:nvPicPr>
                  <pic:blipFill>
                    <a:blip r:embed="rId16">
                      <a:extLst>
                        <a:ext uri="{28A0092B-C50C-407E-A947-70E740481C1C}">
                          <a14:useLocalDpi xmlns:a14="http://schemas.microsoft.com/office/drawing/2010/main" val="0"/>
                        </a:ext>
                      </a:extLst>
                    </a:blip>
                    <a:stretch>
                      <a:fillRect/>
                    </a:stretch>
                  </pic:blipFill>
                  <pic:spPr>
                    <a:xfrm>
                      <a:off x="0" y="0"/>
                      <a:ext cx="3142175" cy="2761677"/>
                    </a:xfrm>
                    <a:prstGeom prst="rect">
                      <a:avLst/>
                    </a:prstGeom>
                  </pic:spPr>
                </pic:pic>
              </a:graphicData>
            </a:graphic>
          </wp:inline>
        </w:drawing>
      </w:r>
    </w:p>
    <w:p w14:paraId="6E91916D" w14:textId="79CF7096" w:rsidR="00FC7A84" w:rsidRDefault="00366C16" w:rsidP="00366C16">
      <w:pPr>
        <w:autoSpaceDE w:val="0"/>
        <w:autoSpaceDN w:val="0"/>
        <w:adjustRightInd w:val="0"/>
        <w:rPr>
          <w:rFonts w:cs="Arial"/>
          <w:sz w:val="20"/>
        </w:rPr>
      </w:pPr>
      <w:r w:rsidRPr="00366C16">
        <w:rPr>
          <w:rFonts w:cs="Arial"/>
          <w:sz w:val="20"/>
        </w:rPr>
        <w:t>PLN03595 represents a family of photoreceptors involved in the photoperiodic control of plant growth and development. This family includes diverse but structurally conserved proteins. They are expressed in different plant organs under varying light conditions. Phylogenetic analyses suggest that</w:t>
      </w:r>
      <w:r w:rsidR="00EA40DA">
        <w:rPr>
          <w:rFonts w:cs="Arial"/>
          <w:sz w:val="20"/>
        </w:rPr>
        <w:t xml:space="preserve"> the</w:t>
      </w:r>
      <w:r w:rsidRPr="00366C16">
        <w:rPr>
          <w:rFonts w:cs="Arial"/>
          <w:sz w:val="20"/>
        </w:rPr>
        <w:t xml:space="preserve"> phytochrome gene family is composed of four subfamilies, </w:t>
      </w:r>
      <w:r w:rsidRPr="00FC0B87">
        <w:rPr>
          <w:rFonts w:cs="Arial"/>
          <w:i/>
          <w:sz w:val="20"/>
        </w:rPr>
        <w:t>PHYA</w:t>
      </w:r>
      <w:r w:rsidRPr="00366C16">
        <w:rPr>
          <w:rFonts w:cs="Arial"/>
          <w:sz w:val="20"/>
        </w:rPr>
        <w:t xml:space="preserve">, </w:t>
      </w:r>
      <w:r w:rsidRPr="00FC0B87">
        <w:rPr>
          <w:rFonts w:cs="Arial"/>
          <w:i/>
          <w:sz w:val="20"/>
        </w:rPr>
        <w:t>PHYB</w:t>
      </w:r>
      <w:r w:rsidRPr="00366C16">
        <w:rPr>
          <w:rFonts w:cs="Arial"/>
          <w:sz w:val="20"/>
        </w:rPr>
        <w:t xml:space="preserve">, </w:t>
      </w:r>
      <w:r w:rsidRPr="00FC0B87">
        <w:rPr>
          <w:rFonts w:cs="Arial"/>
          <w:i/>
          <w:sz w:val="20"/>
        </w:rPr>
        <w:t>PHYC/F</w:t>
      </w:r>
      <w:r w:rsidRPr="00366C16">
        <w:rPr>
          <w:rFonts w:cs="Arial"/>
          <w:sz w:val="20"/>
        </w:rPr>
        <w:t xml:space="preserve">, and </w:t>
      </w:r>
      <w:r w:rsidRPr="00FC0B87">
        <w:rPr>
          <w:rFonts w:cs="Arial"/>
          <w:i/>
          <w:sz w:val="20"/>
        </w:rPr>
        <w:t>PHYE</w:t>
      </w:r>
      <w:r w:rsidRPr="00366C16">
        <w:rPr>
          <w:rFonts w:cs="Arial"/>
          <w:sz w:val="20"/>
        </w:rPr>
        <w:t xml:space="preserve">. </w:t>
      </w:r>
      <w:r w:rsidRPr="009E7698">
        <w:rPr>
          <w:rFonts w:cs="Arial"/>
          <w:i/>
          <w:sz w:val="20"/>
        </w:rPr>
        <w:t>Arabidopsis thaliana</w:t>
      </w:r>
      <w:r w:rsidRPr="00366C16">
        <w:rPr>
          <w:rFonts w:cs="Arial"/>
          <w:sz w:val="20"/>
        </w:rPr>
        <w:t xml:space="preserve"> has an additional </w:t>
      </w:r>
      <w:r w:rsidRPr="00FC0B87">
        <w:rPr>
          <w:rFonts w:cs="Arial"/>
          <w:i/>
          <w:sz w:val="20"/>
        </w:rPr>
        <w:t>PHYD</w:t>
      </w:r>
      <w:r w:rsidRPr="00366C16">
        <w:rPr>
          <w:rFonts w:cs="Arial"/>
          <w:sz w:val="20"/>
        </w:rPr>
        <w:t xml:space="preserve"> gene that originated from </w:t>
      </w:r>
      <w:r w:rsidR="00B57FDE">
        <w:rPr>
          <w:rFonts w:cs="Arial"/>
          <w:sz w:val="20"/>
        </w:rPr>
        <w:t xml:space="preserve">the </w:t>
      </w:r>
      <w:r w:rsidRPr="00FC0B87">
        <w:rPr>
          <w:rFonts w:cs="Arial"/>
          <w:i/>
          <w:sz w:val="20"/>
        </w:rPr>
        <w:t>PHYB</w:t>
      </w:r>
      <w:r w:rsidRPr="00366C16">
        <w:rPr>
          <w:rFonts w:cs="Arial"/>
          <w:sz w:val="20"/>
        </w:rPr>
        <w:t xml:space="preserve"> gene after </w:t>
      </w:r>
      <w:r w:rsidR="00B57FDE">
        <w:rPr>
          <w:rFonts w:cs="Arial"/>
          <w:sz w:val="20"/>
        </w:rPr>
        <w:t xml:space="preserve">a </w:t>
      </w:r>
      <w:r w:rsidRPr="00366C16">
        <w:rPr>
          <w:rFonts w:cs="Arial"/>
          <w:sz w:val="20"/>
        </w:rPr>
        <w:t>more recent gene duplication</w:t>
      </w:r>
      <w:r w:rsidR="00B57FDE">
        <w:rPr>
          <w:rFonts w:cs="Arial"/>
          <w:sz w:val="20"/>
        </w:rPr>
        <w:t>,</w:t>
      </w:r>
      <w:r w:rsidRPr="00366C16">
        <w:rPr>
          <w:rFonts w:cs="Arial"/>
          <w:sz w:val="20"/>
        </w:rPr>
        <w:t xml:space="preserve"> and there is some functional redundancy between these two.  </w:t>
      </w:r>
      <w:r w:rsidRPr="00FC0B87">
        <w:rPr>
          <w:i/>
          <w:sz w:val="20"/>
        </w:rPr>
        <w:t>PHYA</w:t>
      </w:r>
      <w:r w:rsidRPr="00366C16">
        <w:rPr>
          <w:sz w:val="20"/>
        </w:rPr>
        <w:t xml:space="preserve"> and its paralog </w:t>
      </w:r>
      <w:r w:rsidR="00DE6349" w:rsidRPr="00FC0B87">
        <w:rPr>
          <w:i/>
          <w:sz w:val="20"/>
        </w:rPr>
        <w:t>PHYC</w:t>
      </w:r>
      <w:r w:rsidR="00DE6349" w:rsidRPr="00366C16">
        <w:rPr>
          <w:sz w:val="20"/>
        </w:rPr>
        <w:t xml:space="preserve"> </w:t>
      </w:r>
      <w:r w:rsidR="00B57FDE">
        <w:rPr>
          <w:sz w:val="20"/>
        </w:rPr>
        <w:t>are</w:t>
      </w:r>
      <w:r w:rsidR="00B57FDE" w:rsidRPr="00366C16">
        <w:rPr>
          <w:sz w:val="20"/>
        </w:rPr>
        <w:t xml:space="preserve"> </w:t>
      </w:r>
      <w:r w:rsidRPr="00366C16">
        <w:rPr>
          <w:sz w:val="20"/>
        </w:rPr>
        <w:t xml:space="preserve">found in monocots as well as </w:t>
      </w:r>
      <w:r w:rsidR="005A3971">
        <w:rPr>
          <w:sz w:val="20"/>
        </w:rPr>
        <w:t xml:space="preserve">in </w:t>
      </w:r>
      <w:r w:rsidRPr="00366C16">
        <w:rPr>
          <w:sz w:val="20"/>
        </w:rPr>
        <w:t>dicots</w:t>
      </w:r>
      <w:r w:rsidR="00B57FDE">
        <w:rPr>
          <w:sz w:val="20"/>
        </w:rPr>
        <w:t>,</w:t>
      </w:r>
      <w:r w:rsidRPr="00366C16">
        <w:rPr>
          <w:sz w:val="20"/>
        </w:rPr>
        <w:t xml:space="preserve"> but </w:t>
      </w:r>
      <w:r w:rsidRPr="00FC0B87">
        <w:rPr>
          <w:i/>
          <w:sz w:val="20"/>
        </w:rPr>
        <w:t>PHYC</w:t>
      </w:r>
      <w:r w:rsidRPr="00366C16">
        <w:rPr>
          <w:sz w:val="20"/>
        </w:rPr>
        <w:t xml:space="preserve"> is missing in some </w:t>
      </w:r>
      <w:r w:rsidR="00F36AE1">
        <w:rPr>
          <w:sz w:val="20"/>
        </w:rPr>
        <w:t xml:space="preserve">dicot </w:t>
      </w:r>
      <w:r w:rsidRPr="00366C16">
        <w:rPr>
          <w:sz w:val="20"/>
        </w:rPr>
        <w:t xml:space="preserve">lineages.  </w:t>
      </w:r>
      <w:r w:rsidRPr="00366C16">
        <w:rPr>
          <w:rFonts w:cs="Arial"/>
          <w:sz w:val="20"/>
        </w:rPr>
        <w:t>Rice only has three phytochrome genes</w:t>
      </w:r>
      <w:r w:rsidR="00B57FDE">
        <w:rPr>
          <w:rFonts w:cs="Arial"/>
          <w:sz w:val="20"/>
        </w:rPr>
        <w:t>:</w:t>
      </w:r>
      <w:r w:rsidRPr="00366C16">
        <w:rPr>
          <w:rFonts w:cs="Arial"/>
          <w:sz w:val="20"/>
        </w:rPr>
        <w:t xml:space="preserve"> </w:t>
      </w:r>
      <w:r w:rsidRPr="00FC0B87">
        <w:rPr>
          <w:rFonts w:cs="Arial"/>
          <w:i/>
          <w:sz w:val="20"/>
        </w:rPr>
        <w:t>PHYA</w:t>
      </w:r>
      <w:r w:rsidRPr="00366C16">
        <w:rPr>
          <w:rFonts w:cs="Arial"/>
          <w:sz w:val="20"/>
        </w:rPr>
        <w:t xml:space="preserve">, </w:t>
      </w:r>
      <w:r w:rsidRPr="00FC0B87">
        <w:rPr>
          <w:rFonts w:cs="Arial"/>
          <w:i/>
          <w:sz w:val="20"/>
        </w:rPr>
        <w:t>PHYB</w:t>
      </w:r>
      <w:r w:rsidRPr="00366C16">
        <w:rPr>
          <w:rFonts w:cs="Arial"/>
          <w:sz w:val="20"/>
        </w:rPr>
        <w:t xml:space="preserve">, and </w:t>
      </w:r>
      <w:r w:rsidRPr="00FC0B87">
        <w:rPr>
          <w:rFonts w:cs="Arial"/>
          <w:i/>
          <w:sz w:val="20"/>
        </w:rPr>
        <w:t>PHYC</w:t>
      </w:r>
      <w:r w:rsidRPr="00366C16">
        <w:rPr>
          <w:rFonts w:cs="Arial"/>
          <w:sz w:val="20"/>
        </w:rPr>
        <w:t xml:space="preserve">. Monocotyledonous plants are also known to lack several members of </w:t>
      </w:r>
      <w:r w:rsidRPr="00FC0B87">
        <w:rPr>
          <w:rFonts w:cs="Arial"/>
          <w:i/>
          <w:sz w:val="20"/>
        </w:rPr>
        <w:t>PHYB</w:t>
      </w:r>
      <w:r w:rsidRPr="00366C16">
        <w:rPr>
          <w:rFonts w:cs="Arial"/>
          <w:sz w:val="20"/>
        </w:rPr>
        <w:t xml:space="preserve"> subfamily. Phytochromes exhibit distinct and cooperative functions. </w:t>
      </w:r>
      <w:r w:rsidR="00DE6349" w:rsidRPr="00366C16">
        <w:rPr>
          <w:rFonts w:cs="Arial"/>
          <w:sz w:val="20"/>
        </w:rPr>
        <w:t>Mutant</w:t>
      </w:r>
      <w:r w:rsidRPr="00366C16">
        <w:rPr>
          <w:rFonts w:cs="Arial"/>
          <w:sz w:val="20"/>
        </w:rPr>
        <w:t xml:space="preserve"> analysis has shown that</w:t>
      </w:r>
      <w:r w:rsidR="00B57FDE">
        <w:rPr>
          <w:rFonts w:cs="Arial"/>
          <w:sz w:val="20"/>
        </w:rPr>
        <w:t>,</w:t>
      </w:r>
      <w:r w:rsidRPr="00366C16">
        <w:rPr>
          <w:rFonts w:cs="Arial"/>
          <w:sz w:val="20"/>
        </w:rPr>
        <w:t xml:space="preserve"> in rice, phyA and phyB act in a highly redundant manner to control de</w:t>
      </w:r>
      <w:r w:rsidR="00DE6349">
        <w:rPr>
          <w:rFonts w:cs="Arial"/>
          <w:sz w:val="20"/>
        </w:rPr>
        <w:t>-</w:t>
      </w:r>
      <w:r w:rsidRPr="00366C16">
        <w:rPr>
          <w:rFonts w:cs="Arial"/>
          <w:sz w:val="20"/>
        </w:rPr>
        <w:t xml:space="preserve">etiolation under continuous red light. Under continuous far-red light, phyA and </w:t>
      </w:r>
      <w:r>
        <w:rPr>
          <w:rFonts w:cs="Arial"/>
          <w:sz w:val="20"/>
        </w:rPr>
        <w:t>phyC are</w:t>
      </w:r>
      <w:r w:rsidRPr="00366C16">
        <w:rPr>
          <w:rFonts w:cs="Arial"/>
          <w:sz w:val="20"/>
        </w:rPr>
        <w:t xml:space="preserve"> involved in photoperception</w:t>
      </w:r>
      <w:r w:rsidR="00B57FDE">
        <w:rPr>
          <w:rFonts w:cs="Arial"/>
          <w:sz w:val="20"/>
        </w:rPr>
        <w:t>,</w:t>
      </w:r>
      <w:r w:rsidRPr="00366C16">
        <w:rPr>
          <w:rFonts w:cs="Arial"/>
          <w:sz w:val="20"/>
        </w:rPr>
        <w:t xml:space="preserve"> but </w:t>
      </w:r>
      <w:r w:rsidR="00B57FDE">
        <w:rPr>
          <w:rFonts w:cs="Arial"/>
          <w:sz w:val="20"/>
        </w:rPr>
        <w:t xml:space="preserve">the </w:t>
      </w:r>
      <w:r w:rsidRPr="00366C16">
        <w:rPr>
          <w:rFonts w:cs="Arial"/>
          <w:sz w:val="20"/>
        </w:rPr>
        <w:t xml:space="preserve">photoperception mode of phyC differs between rice and </w:t>
      </w:r>
      <w:r w:rsidRPr="00FC0B87">
        <w:rPr>
          <w:rFonts w:cs="Arial"/>
          <w:i/>
          <w:sz w:val="20"/>
        </w:rPr>
        <w:t>Arabidopsis</w:t>
      </w:r>
      <w:r w:rsidRPr="00366C16">
        <w:rPr>
          <w:rFonts w:cs="Arial"/>
          <w:sz w:val="20"/>
        </w:rPr>
        <w:t xml:space="preserve"> </w:t>
      </w:r>
      <w:r w:rsidR="00CC7B48" w:rsidRPr="00366C16">
        <w:rPr>
          <w:rFonts w:cs="Arial"/>
          <w:sz w:val="20"/>
        </w:rPr>
        <w:t>(</w:t>
      </w:r>
      <w:r w:rsidR="00B37E38" w:rsidRPr="00366C16">
        <w:rPr>
          <w:rFonts w:cs="Arial"/>
          <w:sz w:val="20"/>
        </w:rPr>
        <w:t>21</w:t>
      </w:r>
      <w:r w:rsidR="00CC7B48" w:rsidRPr="00366C16">
        <w:rPr>
          <w:rFonts w:cs="Arial"/>
          <w:sz w:val="20"/>
        </w:rPr>
        <w:t>)</w:t>
      </w:r>
      <w:r w:rsidR="00FC7A84" w:rsidRPr="00366C16">
        <w:rPr>
          <w:rFonts w:cs="Arial"/>
          <w:sz w:val="20"/>
        </w:rPr>
        <w:t>.</w:t>
      </w:r>
    </w:p>
    <w:p w14:paraId="3F3E27C3" w14:textId="77777777" w:rsidR="00B12F71" w:rsidRDefault="00B12F71" w:rsidP="00366C16">
      <w:pPr>
        <w:autoSpaceDE w:val="0"/>
        <w:autoSpaceDN w:val="0"/>
        <w:adjustRightInd w:val="0"/>
        <w:rPr>
          <w:rFonts w:cs="Arial"/>
          <w:sz w:val="20"/>
        </w:rPr>
      </w:pPr>
    </w:p>
    <w:p w14:paraId="4361D94F" w14:textId="48C7A24D" w:rsidR="004A333B" w:rsidRPr="009E07D7" w:rsidRDefault="004A333B" w:rsidP="004A333B">
      <w:pPr>
        <w:jc w:val="both"/>
        <w:rPr>
          <w:rFonts w:eastAsia="Times New Roman" w:cs="Arial"/>
          <w:sz w:val="20"/>
        </w:rPr>
      </w:pPr>
      <w:r w:rsidRPr="009E07D7">
        <w:rPr>
          <w:rFonts w:cs="Arial"/>
          <w:sz w:val="20"/>
        </w:rPr>
        <w:t xml:space="preserve">We also used proteins of the photosynthesis system as a model for clustering validation. The photosynthesis system has been chosen as it is well conserved and characterized throughout the plant kingdom. </w:t>
      </w:r>
      <w:r>
        <w:rPr>
          <w:rFonts w:cs="Arial"/>
          <w:sz w:val="20"/>
        </w:rPr>
        <w:t xml:space="preserve">As of now, </w:t>
      </w:r>
      <w:r w:rsidRPr="009E07D7">
        <w:rPr>
          <w:rFonts w:cs="Arial"/>
          <w:sz w:val="20"/>
        </w:rPr>
        <w:t xml:space="preserve">116 clusters </w:t>
      </w:r>
      <w:r>
        <w:rPr>
          <w:rFonts w:cs="Arial"/>
          <w:sz w:val="20"/>
        </w:rPr>
        <w:t xml:space="preserve">were </w:t>
      </w:r>
      <w:r w:rsidRPr="009E07D7">
        <w:rPr>
          <w:rFonts w:cs="Arial"/>
          <w:sz w:val="20"/>
        </w:rPr>
        <w:t xml:space="preserve">identified </w:t>
      </w:r>
      <w:r>
        <w:rPr>
          <w:rFonts w:cs="Arial"/>
          <w:sz w:val="20"/>
        </w:rPr>
        <w:t xml:space="preserve">in plants </w:t>
      </w:r>
      <w:r w:rsidRPr="009E07D7">
        <w:rPr>
          <w:rFonts w:cs="Arial"/>
          <w:sz w:val="20"/>
        </w:rPr>
        <w:t xml:space="preserve">using the “photos” keyword </w:t>
      </w:r>
      <w:r>
        <w:rPr>
          <w:rFonts w:cs="Arial"/>
          <w:sz w:val="20"/>
        </w:rPr>
        <w:t>that were</w:t>
      </w:r>
      <w:r w:rsidRPr="009E07D7">
        <w:rPr>
          <w:rFonts w:cs="Arial"/>
          <w:sz w:val="20"/>
        </w:rPr>
        <w:t xml:space="preserve"> annotated and curated.  The number of proteins per cluster range</w:t>
      </w:r>
      <w:r>
        <w:rPr>
          <w:rFonts w:cs="Arial"/>
          <w:sz w:val="20"/>
        </w:rPr>
        <w:t>d</w:t>
      </w:r>
      <w:r w:rsidRPr="009E07D7">
        <w:rPr>
          <w:rFonts w:cs="Arial"/>
          <w:sz w:val="20"/>
        </w:rPr>
        <w:t xml:space="preserve"> from 2 to 100. </w:t>
      </w:r>
      <w:r w:rsidRPr="00D77977">
        <w:rPr>
          <w:rFonts w:cs="Arial"/>
          <w:sz w:val="20"/>
        </w:rPr>
        <w:t>These photosynthesis proteins belong to 6 or more organisms out of 23 distinct genomes. One cluster, PLN00</w:t>
      </w:r>
      <w:r w:rsidRPr="009E07D7">
        <w:rPr>
          <w:rFonts w:cs="Arial"/>
          <w:sz w:val="20"/>
        </w:rPr>
        <w:t xml:space="preserve">033, contains 22 proteins belonging to 19 </w:t>
      </w:r>
      <w:r>
        <w:rPr>
          <w:rFonts w:cs="Arial"/>
          <w:sz w:val="20"/>
        </w:rPr>
        <w:t>organisms</w:t>
      </w:r>
      <w:r w:rsidRPr="009E07D7">
        <w:rPr>
          <w:rFonts w:cs="Arial"/>
          <w:sz w:val="20"/>
        </w:rPr>
        <w:t xml:space="preserve"> and corresponds to the photosystem II stability/assembly factor</w:t>
      </w:r>
      <w:r w:rsidR="0061368F">
        <w:rPr>
          <w:rFonts w:cs="Arial"/>
          <w:sz w:val="20"/>
        </w:rPr>
        <w:t>,</w:t>
      </w:r>
      <w:r w:rsidRPr="009E07D7">
        <w:rPr>
          <w:rFonts w:cs="Arial"/>
          <w:sz w:val="20"/>
        </w:rPr>
        <w:t xml:space="preserve"> which is coherent with the central role this protein plays in chloroplast biogenesis and photosystem stability (</w:t>
      </w:r>
      <w:r w:rsidRPr="009E07D7">
        <w:rPr>
          <w:rFonts w:eastAsia="Times New Roman" w:cs="Arial"/>
          <w:sz w:val="20"/>
        </w:rPr>
        <w:t>25, 26, and 27)</w:t>
      </w:r>
      <w:r w:rsidRPr="009E07D7">
        <w:rPr>
          <w:rFonts w:cs="Arial"/>
          <w:color w:val="000000"/>
          <w:sz w:val="20"/>
        </w:rPr>
        <w:t>. Interestingly</w:t>
      </w:r>
      <w:r w:rsidR="0061368F">
        <w:rPr>
          <w:rFonts w:cs="Arial"/>
          <w:color w:val="000000"/>
          <w:sz w:val="20"/>
        </w:rPr>
        <w:t>,</w:t>
      </w:r>
      <w:r w:rsidRPr="009E07D7">
        <w:rPr>
          <w:rFonts w:cs="Arial"/>
          <w:color w:val="000000"/>
          <w:sz w:val="20"/>
        </w:rPr>
        <w:t xml:space="preserve"> 10 out of these 22 proteins from 8 different organisms </w:t>
      </w:r>
      <w:r>
        <w:rPr>
          <w:rFonts w:cs="Arial"/>
          <w:color w:val="000000"/>
          <w:sz w:val="20"/>
        </w:rPr>
        <w:t>are</w:t>
      </w:r>
      <w:r w:rsidRPr="009E07D7">
        <w:rPr>
          <w:rFonts w:cs="Arial"/>
          <w:color w:val="000000"/>
          <w:sz w:val="20"/>
        </w:rPr>
        <w:t xml:space="preserve"> annotated as hypothetical proteins. </w:t>
      </w:r>
    </w:p>
    <w:p w14:paraId="1BDA8A09" w14:textId="77777777" w:rsidR="004A333B" w:rsidRPr="009E07D7" w:rsidRDefault="004A333B" w:rsidP="004A333B">
      <w:pPr>
        <w:jc w:val="both"/>
        <w:rPr>
          <w:rFonts w:eastAsia="Times New Roman" w:cs="Arial"/>
          <w:sz w:val="20"/>
        </w:rPr>
      </w:pPr>
    </w:p>
    <w:p w14:paraId="29EE490C" w14:textId="7B025D79" w:rsidR="004A333B" w:rsidRPr="00E72357" w:rsidRDefault="004A333B" w:rsidP="00E72357">
      <w:r w:rsidRPr="00E72357">
        <w:t>The second most conserved cluster, PLN00037, contains 34 proteins belonging to 18 organisms and corresponds to photosystem II oxygen-evolving enhancer protein 1 (Psb O).  This situation is coherent with its crucial role in photosynthesis. Here again 11 proteins are annotated as hypothetical. Generally</w:t>
      </w:r>
      <w:r w:rsidR="0061368F" w:rsidRPr="00E72357">
        <w:t>,</w:t>
      </w:r>
      <w:r w:rsidRPr="00E72357">
        <w:t xml:space="preserve"> the most conserved proteins in the plant kingdom are known for their central role in plant growth and development. The clustering can be used to hypothesize about the most important proteins whose function is worth analyzing further. For example</w:t>
      </w:r>
      <w:r w:rsidR="0061368F" w:rsidRPr="00E72357">
        <w:t>,</w:t>
      </w:r>
      <w:r w:rsidRPr="00E72357">
        <w:t xml:space="preserve"> PLN03089, a cluster of 65 hypothetical proteins present in both monocots and dicots, should attract more interest. Although the proteins have homology with the Glutamate-gated kainate-type ion channel receptor subunit GluR5 in </w:t>
      </w:r>
      <w:r w:rsidRPr="00E72357">
        <w:rPr>
          <w:i/>
        </w:rPr>
        <w:t>Medicago truncatula</w:t>
      </w:r>
      <w:r w:rsidRPr="00E72357">
        <w:t>, there is no convincing evidence of such function.</w:t>
      </w:r>
    </w:p>
    <w:p w14:paraId="53979861" w14:textId="77777777" w:rsidR="004A333B" w:rsidRDefault="004A333B" w:rsidP="00366C16">
      <w:pPr>
        <w:autoSpaceDE w:val="0"/>
        <w:autoSpaceDN w:val="0"/>
        <w:adjustRightInd w:val="0"/>
        <w:rPr>
          <w:rFonts w:cs="Arial"/>
          <w:sz w:val="20"/>
        </w:rPr>
      </w:pPr>
    </w:p>
    <w:p w14:paraId="667E9C26" w14:textId="7B74CE69" w:rsidR="004A333B" w:rsidRPr="00AC33D1" w:rsidRDefault="004A333B" w:rsidP="004A333B">
      <w:pPr>
        <w:autoSpaceDE w:val="0"/>
        <w:autoSpaceDN w:val="0"/>
        <w:adjustRightInd w:val="0"/>
        <w:rPr>
          <w:rFonts w:cs="Arial"/>
          <w:sz w:val="20"/>
        </w:rPr>
      </w:pPr>
      <w:r w:rsidRPr="009E07D7">
        <w:rPr>
          <w:rFonts w:eastAsia="Times New Roman" w:cs="Arial"/>
          <w:sz w:val="20"/>
        </w:rPr>
        <w:t xml:space="preserve">The clusters containing protein specific to a group or subgroup of plants are also very interesting to study. Examples of such clusters are the ones with proteins present in all </w:t>
      </w:r>
      <w:r w:rsidRPr="009E07D7">
        <w:rPr>
          <w:rFonts w:eastAsia="Times New Roman" w:cs="Arial"/>
          <w:i/>
          <w:sz w:val="20"/>
        </w:rPr>
        <w:t>viridiplantae</w:t>
      </w:r>
      <w:r w:rsidRPr="009E07D7">
        <w:rPr>
          <w:rFonts w:eastAsia="Times New Roman" w:cs="Arial"/>
          <w:sz w:val="20"/>
        </w:rPr>
        <w:t xml:space="preserve"> (PLN00046: photosystem I reaction center subunit O; PLN00054: photosystem I reaction center subunit N; PLN00049: carboxyl-terminal processing protease). The corresponding proteins would be among the most important in plant photosynthesis. Some other clusters contain proteins from </w:t>
      </w:r>
      <w:r w:rsidR="0032206E">
        <w:rPr>
          <w:rFonts w:eastAsia="Times New Roman" w:cs="Arial"/>
          <w:sz w:val="20"/>
        </w:rPr>
        <w:t xml:space="preserve">a </w:t>
      </w:r>
      <w:r w:rsidRPr="009E07D7">
        <w:rPr>
          <w:rFonts w:eastAsia="Times New Roman" w:cs="Arial"/>
          <w:sz w:val="20"/>
        </w:rPr>
        <w:t>specific subgroup such as algae (PLN00100).</w:t>
      </w:r>
    </w:p>
    <w:p w14:paraId="3D685481" w14:textId="77777777" w:rsidR="004A333B" w:rsidRPr="00366C16" w:rsidRDefault="004A333B" w:rsidP="00366C16">
      <w:pPr>
        <w:autoSpaceDE w:val="0"/>
        <w:autoSpaceDN w:val="0"/>
        <w:adjustRightInd w:val="0"/>
        <w:rPr>
          <w:rFonts w:cs="Arial"/>
          <w:sz w:val="20"/>
        </w:rPr>
      </w:pPr>
    </w:p>
    <w:p w14:paraId="6184E307" w14:textId="77777777" w:rsidR="00AF341B" w:rsidRPr="00700D74" w:rsidRDefault="00AF341B" w:rsidP="00AF341B">
      <w:pPr>
        <w:pStyle w:val="Heading2"/>
        <w:rPr>
          <w:rFonts w:cs="Arial"/>
          <w:color w:val="7F7F7F" w:themeColor="text1" w:themeTint="80"/>
          <w:sz w:val="24"/>
          <w:szCs w:val="24"/>
        </w:rPr>
      </w:pPr>
      <w:r w:rsidRPr="00700D74">
        <w:rPr>
          <w:rFonts w:cs="Arial"/>
          <w:color w:val="7F7F7F" w:themeColor="text1" w:themeTint="80"/>
          <w:sz w:val="24"/>
          <w:szCs w:val="24"/>
        </w:rPr>
        <w:t>Access</w:t>
      </w:r>
    </w:p>
    <w:p w14:paraId="42067B0E" w14:textId="77777777" w:rsidR="00DE3EC8" w:rsidRPr="00221DFF" w:rsidRDefault="00AB1F1E" w:rsidP="000F112B">
      <w:pPr>
        <w:autoSpaceDE w:val="0"/>
        <w:autoSpaceDN w:val="0"/>
        <w:adjustRightInd w:val="0"/>
        <w:rPr>
          <w:rFonts w:eastAsia="Times New Roman" w:cs="Arial"/>
          <w:sz w:val="20"/>
        </w:rPr>
      </w:pPr>
      <w:r w:rsidRPr="00221DFF">
        <w:rPr>
          <w:rFonts w:eastAsia="Times New Roman" w:cs="Arial"/>
          <w:sz w:val="20"/>
        </w:rPr>
        <w:t>Protein Clusters are presented in NCBI’s Entrez system (</w:t>
      </w:r>
      <w:hyperlink r:id="rId17" w:history="1">
        <w:r w:rsidR="00DE3EC8" w:rsidRPr="00221DFF">
          <w:rPr>
            <w:rStyle w:val="Hyperlink"/>
            <w:rFonts w:eastAsia="Times New Roman" w:cs="Arial"/>
            <w:sz w:val="20"/>
          </w:rPr>
          <w:t>http://www.ncbi.nlm.nih.gov/sites/entrez?db=proteinclusters</w:t>
        </w:r>
      </w:hyperlink>
      <w:r w:rsidR="00DE3EC8" w:rsidRPr="00221DFF">
        <w:rPr>
          <w:rFonts w:eastAsia="Times New Roman" w:cs="Arial"/>
          <w:sz w:val="20"/>
        </w:rPr>
        <w:t>)</w:t>
      </w:r>
    </w:p>
    <w:p w14:paraId="0DAB9710" w14:textId="77777777" w:rsidR="00DE3EC8" w:rsidRPr="00221DFF" w:rsidRDefault="00DE3EC8" w:rsidP="000F112B">
      <w:pPr>
        <w:autoSpaceDE w:val="0"/>
        <w:autoSpaceDN w:val="0"/>
        <w:adjustRightInd w:val="0"/>
        <w:rPr>
          <w:rFonts w:eastAsia="Times New Roman" w:cs="Arial"/>
          <w:sz w:val="20"/>
        </w:rPr>
      </w:pPr>
    </w:p>
    <w:p w14:paraId="0ACF0586" w14:textId="24C8F31B" w:rsidR="008B14D4" w:rsidRPr="00221DFF" w:rsidRDefault="0091038D" w:rsidP="00965306">
      <w:pPr>
        <w:autoSpaceDE w:val="0"/>
        <w:autoSpaceDN w:val="0"/>
        <w:adjustRightInd w:val="0"/>
        <w:rPr>
          <w:rFonts w:eastAsia="Times New Roman" w:cs="Arial"/>
          <w:sz w:val="20"/>
        </w:rPr>
      </w:pPr>
      <w:r w:rsidRPr="00221DFF">
        <w:rPr>
          <w:rFonts w:eastAsia="Times New Roman" w:cs="Arial"/>
          <w:sz w:val="20"/>
        </w:rPr>
        <w:t>The first public release of the Prot</w:t>
      </w:r>
      <w:r w:rsidR="00AB1F1E" w:rsidRPr="00221DFF">
        <w:rPr>
          <w:rFonts w:eastAsia="Times New Roman" w:cs="Arial"/>
          <w:sz w:val="20"/>
        </w:rPr>
        <w:t xml:space="preserve">ein </w:t>
      </w:r>
      <w:r w:rsidRPr="00221DFF">
        <w:rPr>
          <w:rFonts w:eastAsia="Times New Roman" w:cs="Arial"/>
          <w:sz w:val="20"/>
        </w:rPr>
        <w:t>Clust</w:t>
      </w:r>
      <w:r w:rsidR="00AB1F1E" w:rsidRPr="00221DFF">
        <w:rPr>
          <w:rFonts w:eastAsia="Times New Roman" w:cs="Arial"/>
          <w:sz w:val="20"/>
        </w:rPr>
        <w:t>ers</w:t>
      </w:r>
      <w:r w:rsidRPr="00221DFF">
        <w:rPr>
          <w:rFonts w:eastAsia="Times New Roman" w:cs="Arial"/>
          <w:sz w:val="20"/>
        </w:rPr>
        <w:t xml:space="preserve"> </w:t>
      </w:r>
      <w:r w:rsidR="00D1710A">
        <w:rPr>
          <w:rFonts w:eastAsia="Times New Roman" w:cs="Arial"/>
          <w:sz w:val="20"/>
        </w:rPr>
        <w:t>in</w:t>
      </w:r>
      <w:r w:rsidR="00D1710A" w:rsidRPr="00221DFF">
        <w:rPr>
          <w:rFonts w:eastAsia="Times New Roman" w:cs="Arial"/>
          <w:sz w:val="20"/>
        </w:rPr>
        <w:t xml:space="preserve"> </w:t>
      </w:r>
      <w:r w:rsidRPr="00221DFF">
        <w:rPr>
          <w:rFonts w:eastAsia="Times New Roman" w:cs="Arial"/>
          <w:sz w:val="20"/>
        </w:rPr>
        <w:t>NCBI’s Entrez interface was in April 2007</w:t>
      </w:r>
      <w:r w:rsidR="009F4CCE">
        <w:rPr>
          <w:rFonts w:eastAsia="Times New Roman" w:cs="Arial"/>
          <w:sz w:val="20"/>
        </w:rPr>
        <w:t>,</w:t>
      </w:r>
      <w:r w:rsidRPr="00221DFF">
        <w:rPr>
          <w:rFonts w:eastAsia="Times New Roman" w:cs="Arial"/>
          <w:sz w:val="20"/>
        </w:rPr>
        <w:t xml:space="preserve"> and initially consisted</w:t>
      </w:r>
      <w:r w:rsidR="00AB1F1E" w:rsidRPr="00221DFF">
        <w:rPr>
          <w:rFonts w:eastAsia="Times New Roman" w:cs="Arial"/>
          <w:sz w:val="20"/>
        </w:rPr>
        <w:t xml:space="preserve"> </w:t>
      </w:r>
      <w:r w:rsidRPr="00221DFF">
        <w:rPr>
          <w:rFonts w:eastAsia="Times New Roman" w:cs="Arial"/>
          <w:sz w:val="20"/>
        </w:rPr>
        <w:t>of only prokaryot</w:t>
      </w:r>
      <w:r w:rsidR="004976F8">
        <w:rPr>
          <w:rFonts w:eastAsia="Times New Roman" w:cs="Arial"/>
          <w:sz w:val="20"/>
        </w:rPr>
        <w:t xml:space="preserve">ic clusters </w:t>
      </w:r>
      <w:r w:rsidR="00CC7B48">
        <w:rPr>
          <w:rFonts w:eastAsia="Times New Roman" w:cs="Arial"/>
          <w:sz w:val="20"/>
        </w:rPr>
        <w:t>(</w:t>
      </w:r>
      <w:r w:rsidR="004976F8">
        <w:rPr>
          <w:rFonts w:eastAsia="Times New Roman" w:cs="Arial"/>
          <w:sz w:val="20"/>
        </w:rPr>
        <w:t>15</w:t>
      </w:r>
      <w:r w:rsidR="00CC7B48">
        <w:rPr>
          <w:rFonts w:eastAsia="Times New Roman" w:cs="Arial"/>
          <w:sz w:val="20"/>
        </w:rPr>
        <w:t>)</w:t>
      </w:r>
      <w:r w:rsidRPr="00221DFF">
        <w:rPr>
          <w:rFonts w:eastAsia="Times New Roman" w:cs="Arial"/>
          <w:sz w:val="20"/>
        </w:rPr>
        <w:t>.</w:t>
      </w:r>
      <w:r w:rsidR="000F112B" w:rsidRPr="00221DFF">
        <w:rPr>
          <w:rFonts w:eastAsia="Times New Roman" w:cs="Arial"/>
          <w:sz w:val="20"/>
        </w:rPr>
        <w:t xml:space="preserve"> The Entrez system provides a mechanism for the search, retrieval</w:t>
      </w:r>
      <w:r w:rsidR="009F4CCE">
        <w:rPr>
          <w:rFonts w:eastAsia="Times New Roman" w:cs="Arial"/>
          <w:sz w:val="20"/>
        </w:rPr>
        <w:t>,</w:t>
      </w:r>
      <w:r w:rsidR="000F112B" w:rsidRPr="00221DFF">
        <w:rPr>
          <w:rFonts w:eastAsia="Times New Roman" w:cs="Arial"/>
          <w:sz w:val="20"/>
        </w:rPr>
        <w:t xml:space="preserve"> and linkage between </w:t>
      </w:r>
      <w:r w:rsidR="00D1710A">
        <w:rPr>
          <w:rFonts w:eastAsia="Times New Roman" w:cs="Arial"/>
          <w:sz w:val="20"/>
        </w:rPr>
        <w:t>P</w:t>
      </w:r>
      <w:r w:rsidR="000F112B" w:rsidRPr="00221DFF">
        <w:rPr>
          <w:rFonts w:eastAsia="Times New Roman" w:cs="Arial"/>
          <w:sz w:val="20"/>
        </w:rPr>
        <w:t xml:space="preserve">rotein </w:t>
      </w:r>
      <w:r w:rsidR="00D1710A">
        <w:rPr>
          <w:rFonts w:eastAsia="Times New Roman" w:cs="Arial"/>
          <w:sz w:val="20"/>
        </w:rPr>
        <w:t>C</w:t>
      </w:r>
      <w:r w:rsidR="000F112B" w:rsidRPr="00221DFF">
        <w:rPr>
          <w:rFonts w:eastAsia="Times New Roman" w:cs="Arial"/>
          <w:sz w:val="20"/>
        </w:rPr>
        <w:t>lusters and other NCBI databases</w:t>
      </w:r>
      <w:r w:rsidR="009F4CCE">
        <w:rPr>
          <w:rFonts w:eastAsia="Times New Roman" w:cs="Arial"/>
          <w:sz w:val="20"/>
        </w:rPr>
        <w:t>,</w:t>
      </w:r>
      <w:r w:rsidR="000F112B" w:rsidRPr="00221DFF">
        <w:rPr>
          <w:rFonts w:eastAsia="Times New Roman" w:cs="Arial"/>
          <w:sz w:val="20"/>
        </w:rPr>
        <w:t xml:space="preserve"> as well as external resources.</w:t>
      </w:r>
      <w:r w:rsidR="00000166">
        <w:rPr>
          <w:rFonts w:eastAsia="Times New Roman" w:cs="Arial"/>
          <w:sz w:val="20"/>
        </w:rPr>
        <w:t xml:space="preserve"> </w:t>
      </w:r>
      <w:r w:rsidR="000F112B" w:rsidRPr="00221DFF">
        <w:rPr>
          <w:rFonts w:eastAsia="Times New Roman" w:cs="Arial"/>
          <w:sz w:val="20"/>
        </w:rPr>
        <w:t>Clusters can be searched by general text terms, and also by specific protein or gene names.</w:t>
      </w:r>
    </w:p>
    <w:p w14:paraId="4313AECF" w14:textId="76F42D58" w:rsidR="00B04814" w:rsidRPr="00221DFF" w:rsidRDefault="00B04814" w:rsidP="00965306">
      <w:pPr>
        <w:autoSpaceDE w:val="0"/>
        <w:autoSpaceDN w:val="0"/>
        <w:adjustRightInd w:val="0"/>
        <w:rPr>
          <w:rFonts w:eastAsia="Times New Roman" w:cs="Arial"/>
          <w:sz w:val="20"/>
        </w:rPr>
      </w:pPr>
      <w:r w:rsidRPr="00221DFF">
        <w:rPr>
          <w:rFonts w:eastAsia="Times New Roman" w:cs="Arial"/>
          <w:sz w:val="20"/>
        </w:rPr>
        <w:t>Limits and Advanced search</w:t>
      </w:r>
      <w:r w:rsidR="00000166">
        <w:rPr>
          <w:rFonts w:eastAsia="Times New Roman" w:cs="Arial"/>
          <w:sz w:val="20"/>
        </w:rPr>
        <w:t xml:space="preserve"> allow clusters to be </w:t>
      </w:r>
      <w:r w:rsidRPr="00221DFF">
        <w:rPr>
          <w:rFonts w:eastAsia="Times New Roman" w:cs="Arial"/>
          <w:sz w:val="20"/>
        </w:rPr>
        <w:t>browsed by function</w:t>
      </w:r>
      <w:r w:rsidR="00D1710A">
        <w:rPr>
          <w:rFonts w:eastAsia="Times New Roman" w:cs="Arial"/>
          <w:sz w:val="20"/>
        </w:rPr>
        <w:t xml:space="preserve"> and</w:t>
      </w:r>
      <w:r w:rsidRPr="00221DFF">
        <w:rPr>
          <w:rFonts w:eastAsia="Times New Roman" w:cs="Arial"/>
          <w:sz w:val="20"/>
        </w:rPr>
        <w:t xml:space="preserve"> filtered by size and organism group. </w:t>
      </w:r>
      <w:r w:rsidR="00D1710A">
        <w:rPr>
          <w:rFonts w:eastAsia="Times New Roman" w:cs="Arial"/>
          <w:sz w:val="20"/>
        </w:rPr>
        <w:t xml:space="preserve">A </w:t>
      </w:r>
      <w:r w:rsidRPr="00221DFF">
        <w:rPr>
          <w:rFonts w:eastAsia="Times New Roman" w:cs="Arial"/>
          <w:sz w:val="20"/>
        </w:rPr>
        <w:t>table</w:t>
      </w:r>
      <w:r w:rsidR="00D1710A">
        <w:rPr>
          <w:rFonts w:eastAsia="Times New Roman" w:cs="Arial"/>
          <w:sz w:val="20"/>
        </w:rPr>
        <w:t xml:space="preserve"> browser</w:t>
      </w:r>
      <w:r w:rsidRPr="00221DFF">
        <w:rPr>
          <w:rFonts w:eastAsia="Times New Roman" w:cs="Arial"/>
          <w:sz w:val="20"/>
        </w:rPr>
        <w:t xml:space="preserve"> allow</w:t>
      </w:r>
      <w:r w:rsidR="009F4CCE">
        <w:rPr>
          <w:rFonts w:eastAsia="Times New Roman" w:cs="Arial"/>
          <w:sz w:val="20"/>
        </w:rPr>
        <w:t>s</w:t>
      </w:r>
      <w:r w:rsidRPr="00221DFF">
        <w:rPr>
          <w:rFonts w:eastAsia="Times New Roman" w:cs="Arial"/>
          <w:sz w:val="20"/>
        </w:rPr>
        <w:t xml:space="preserve"> users to sort by the content of each column by clicking on the column header.</w:t>
      </w:r>
    </w:p>
    <w:p w14:paraId="029FDFB0" w14:textId="5A755942" w:rsidR="00B04814" w:rsidRPr="00221DFF" w:rsidRDefault="00B04814" w:rsidP="00965306">
      <w:pPr>
        <w:autoSpaceDE w:val="0"/>
        <w:autoSpaceDN w:val="0"/>
        <w:adjustRightInd w:val="0"/>
        <w:rPr>
          <w:rFonts w:eastAsia="Times New Roman" w:cs="Arial"/>
          <w:sz w:val="20"/>
        </w:rPr>
      </w:pPr>
    </w:p>
    <w:p w14:paraId="508A48C7" w14:textId="670729EF" w:rsidR="007A72E3" w:rsidRPr="008D56D5" w:rsidRDefault="00334B48" w:rsidP="008D56D5">
      <w:r>
        <w:rPr>
          <w:noProof/>
        </w:rPr>
        <w:drawing>
          <wp:inline distT="0" distB="0" distL="0" distR="0" wp14:anchorId="18E0A565" wp14:editId="605DB4CC">
            <wp:extent cx="5461984" cy="4210024"/>
            <wp:effectExtent l="0" t="0" r="5715"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c_ig3.png"/>
                    <pic:cNvPicPr/>
                  </pic:nvPicPr>
                  <pic:blipFill>
                    <a:blip r:embed="rId18">
                      <a:extLst>
                        <a:ext uri="{28A0092B-C50C-407E-A947-70E740481C1C}">
                          <a14:useLocalDpi xmlns:a14="http://schemas.microsoft.com/office/drawing/2010/main" val="0"/>
                        </a:ext>
                      </a:extLst>
                    </a:blip>
                    <a:stretch>
                      <a:fillRect/>
                    </a:stretch>
                  </pic:blipFill>
                  <pic:spPr>
                    <a:xfrm>
                      <a:off x="0" y="0"/>
                      <a:ext cx="5461984" cy="4210024"/>
                    </a:xfrm>
                    <a:prstGeom prst="rect">
                      <a:avLst/>
                    </a:prstGeom>
                  </pic:spPr>
                </pic:pic>
              </a:graphicData>
            </a:graphic>
          </wp:inline>
        </w:drawing>
      </w:r>
    </w:p>
    <w:p w14:paraId="579BBE00" w14:textId="127F4791" w:rsidR="0002369E" w:rsidRPr="00221DFF" w:rsidRDefault="007A72E3" w:rsidP="00FC0B87">
      <w:r w:rsidRPr="009E7698">
        <w:t xml:space="preserve">Protein clusters </w:t>
      </w:r>
      <w:r w:rsidR="00965306" w:rsidRPr="00C2131D">
        <w:t xml:space="preserve">are </w:t>
      </w:r>
      <w:r w:rsidR="00844C12" w:rsidRPr="009E7698">
        <w:t>available for</w:t>
      </w:r>
      <w:r w:rsidR="00844C12" w:rsidRPr="00221DFF">
        <w:t xml:space="preserve"> download from the </w:t>
      </w:r>
      <w:r w:rsidR="00965306" w:rsidRPr="00221DFF">
        <w:t>FTP directory (</w:t>
      </w:r>
      <w:hyperlink r:id="rId19" w:history="1">
        <w:r w:rsidR="0002369E" w:rsidRPr="00221DFF">
          <w:rPr>
            <w:rStyle w:val="Hyperlink"/>
            <w:rFonts w:eastAsia="Times New Roman" w:cs="Arial"/>
            <w:sz w:val="20"/>
          </w:rPr>
          <w:t>ftp://ftp.ncbi.nih.gov/genomes/Bacteria/CLUSTERS/</w:t>
        </w:r>
      </w:hyperlink>
      <w:r w:rsidR="0002369E" w:rsidRPr="00221DFF">
        <w:t>) by date and by major taxonomic groups.</w:t>
      </w:r>
    </w:p>
    <w:p w14:paraId="0CD4E217" w14:textId="37E93149" w:rsidR="0002369E" w:rsidRPr="00700D74" w:rsidRDefault="0002369E" w:rsidP="0002369E">
      <w:pPr>
        <w:pStyle w:val="Heading2"/>
        <w:rPr>
          <w:rFonts w:cs="Arial"/>
          <w:sz w:val="24"/>
          <w:szCs w:val="24"/>
        </w:rPr>
      </w:pPr>
      <w:r w:rsidRPr="00700D74">
        <w:rPr>
          <w:rFonts w:cs="Arial"/>
          <w:color w:val="7F7F7F" w:themeColor="text1" w:themeTint="80"/>
          <w:sz w:val="24"/>
          <w:szCs w:val="24"/>
        </w:rPr>
        <w:t>Related Tools</w:t>
      </w:r>
    </w:p>
    <w:p w14:paraId="5DF248E5" w14:textId="77777777" w:rsidR="0002369E" w:rsidRPr="00000166" w:rsidRDefault="0002369E" w:rsidP="00FC0B87">
      <w:pPr>
        <w:pStyle w:val="Heading3"/>
      </w:pPr>
      <w:r w:rsidRPr="00000166">
        <w:t xml:space="preserve">Concise Protein BLAST </w:t>
      </w:r>
    </w:p>
    <w:p w14:paraId="32E37067" w14:textId="4F589855" w:rsidR="0001332E" w:rsidRDefault="00D1710A" w:rsidP="00FC0B87">
      <w:r>
        <w:t xml:space="preserve">The </w:t>
      </w:r>
      <w:r w:rsidR="0001332E">
        <w:t>C</w:t>
      </w:r>
      <w:r w:rsidR="0001332E" w:rsidRPr="00221DFF">
        <w:t xml:space="preserve">oncise </w:t>
      </w:r>
      <w:r w:rsidR="0001332E">
        <w:t>Protein database contains proteins from</w:t>
      </w:r>
      <w:r w:rsidR="0001332E" w:rsidRPr="00221DFF">
        <w:t xml:space="preserve"> all clusters, as well as all singletons (not clustered proteins). From the clustered set, a representative at the genus level is chosen in order to r</w:t>
      </w:r>
      <w:r w:rsidR="0001332E">
        <w:t>educe the data set. R</w:t>
      </w:r>
      <w:r w:rsidR="0001332E" w:rsidRPr="00221DFF">
        <w:t>esults are</w:t>
      </w:r>
      <w:r w:rsidR="0001332E">
        <w:t xml:space="preserve"> therefore available </w:t>
      </w:r>
      <w:r w:rsidR="0001332E" w:rsidRPr="00221DFF">
        <w:t xml:space="preserve">rapidly and the results that are returned provide a broader taxonomic range due to this data reduction. </w:t>
      </w:r>
    </w:p>
    <w:p w14:paraId="5A5BF8E2" w14:textId="77777777" w:rsidR="0001332E" w:rsidRDefault="0001332E" w:rsidP="00FC0B87">
      <w:r>
        <w:lastRenderedPageBreak/>
        <w:t>Concise BLAST p</w:t>
      </w:r>
      <w:r w:rsidRPr="00221DFF">
        <w:t>rovides</w:t>
      </w:r>
      <w:r w:rsidR="0002369E" w:rsidRPr="00221DFF">
        <w:t xml:space="preserve"> an option for both protein and nucleotide searches using</w:t>
      </w:r>
      <w:r>
        <w:t xml:space="preserve"> BLASTP and</w:t>
      </w:r>
      <w:r w:rsidR="0002369E" w:rsidRPr="00221DFF">
        <w:t xml:space="preserve"> BLASTX, respectively</w:t>
      </w:r>
      <w:r>
        <w:t>.</w:t>
      </w:r>
      <w:r w:rsidR="0002369E" w:rsidRPr="00221DFF">
        <w:t xml:space="preserve"> </w:t>
      </w:r>
    </w:p>
    <w:p w14:paraId="1567CB4C" w14:textId="77777777" w:rsidR="0002369E" w:rsidRPr="00221DFF" w:rsidRDefault="000046FE" w:rsidP="008D56D5">
      <w:pPr>
        <w:rPr>
          <w:rFonts w:cs="Arial"/>
          <w:b/>
          <w:sz w:val="20"/>
        </w:rPr>
      </w:pPr>
      <w:hyperlink r:id="rId20" w:history="1">
        <w:r w:rsidR="0002369E" w:rsidRPr="008D56D5">
          <w:rPr>
            <w:rStyle w:val="Hyperlink"/>
          </w:rPr>
          <w:t>http://www.ncbi.nlm.nih.gov/genomes/prokhits.cgi</w:t>
        </w:r>
      </w:hyperlink>
    </w:p>
    <w:p w14:paraId="49EEEA3E" w14:textId="77777777" w:rsidR="0002369E" w:rsidRPr="008D56D5" w:rsidRDefault="0002369E" w:rsidP="008D56D5"/>
    <w:p w14:paraId="6D9D18DF" w14:textId="77777777" w:rsidR="0002369E" w:rsidRPr="00221DFF" w:rsidRDefault="0002369E" w:rsidP="0002369E">
      <w:pPr>
        <w:rPr>
          <w:rFonts w:cs="Arial"/>
          <w:sz w:val="20"/>
        </w:rPr>
      </w:pPr>
    </w:p>
    <w:p w14:paraId="3ED026BC" w14:textId="77777777" w:rsidR="0002369E" w:rsidRPr="00000166" w:rsidRDefault="0002369E" w:rsidP="00FC0B87">
      <w:pPr>
        <w:pStyle w:val="Heading3"/>
      </w:pPr>
      <w:r w:rsidRPr="00000166">
        <w:t xml:space="preserve">RPS-BLAST </w:t>
      </w:r>
    </w:p>
    <w:p w14:paraId="526AE0B9" w14:textId="5575A01C" w:rsidR="0002369E" w:rsidRPr="00221DFF" w:rsidRDefault="00D0540F" w:rsidP="00FC0B87">
      <w:r>
        <w:t>RPS-BLAST s</w:t>
      </w:r>
      <w:r w:rsidR="002C1E00" w:rsidRPr="00221DFF">
        <w:t>earches</w:t>
      </w:r>
      <w:r w:rsidR="0002369E" w:rsidRPr="00221DFF">
        <w:t xml:space="preserve"> against pre-calculated position-specific scoring matrices (PSSMs) created during conserved domain processing for the CD-search tool. Therefore, only protein sequences are</w:t>
      </w:r>
      <w:r>
        <w:t xml:space="preserve"> </w:t>
      </w:r>
      <w:r w:rsidR="0002369E" w:rsidRPr="00221DFF">
        <w:t xml:space="preserve">used for this type of search. PSSMs from the curated cluster set have been added to CDD </w:t>
      </w:r>
      <w:r w:rsidR="00D1710A">
        <w:t>and are also</w:t>
      </w:r>
      <w:r w:rsidR="0002369E" w:rsidRPr="00221DFF">
        <w:t xml:space="preserve"> used in pre-calculated conserved domain hits available from the</w:t>
      </w:r>
      <w:r>
        <w:t xml:space="preserve"> </w:t>
      </w:r>
      <w:r w:rsidR="0002369E" w:rsidRPr="00221DFF">
        <w:t xml:space="preserve">link menu on protein sequences and reported on each GenPept record. The curated set of PSSMs can be searched using RPS-BLAST and a protein sequence at </w:t>
      </w:r>
    </w:p>
    <w:p w14:paraId="3DA570FC" w14:textId="175BC8FA" w:rsidR="0002369E" w:rsidRPr="009F4CCE" w:rsidRDefault="000046FE" w:rsidP="00FC0B87">
      <w:hyperlink r:id="rId21" w:history="1">
        <w:r w:rsidR="0002369E" w:rsidRPr="009F4CCE">
          <w:rPr>
            <w:rStyle w:val="Hyperlink"/>
            <w:rFonts w:cs="Arial"/>
            <w:sz w:val="20"/>
          </w:rPr>
          <w:t>http://www.ncbi.nlm.nih.gov/Structure/cdd/wrpsb.cgi</w:t>
        </w:r>
      </w:hyperlink>
      <w:r w:rsidR="009F4CCE" w:rsidRPr="009F4CCE">
        <w:t xml:space="preserve"> </w:t>
      </w:r>
      <w:r w:rsidR="0002369E" w:rsidRPr="009F4CCE">
        <w:t xml:space="preserve">or the full set of PSSMs for all curated clusters </w:t>
      </w:r>
      <w:r w:rsidR="00D1710A" w:rsidRPr="009F4CCE">
        <w:t xml:space="preserve">is </w:t>
      </w:r>
      <w:r w:rsidR="0002369E" w:rsidRPr="009F4CCE">
        <w:t xml:space="preserve">available from FTP. </w:t>
      </w:r>
    </w:p>
    <w:p w14:paraId="0EEC5A5A" w14:textId="77777777" w:rsidR="002646A7" w:rsidRPr="00221DFF" w:rsidRDefault="002646A7" w:rsidP="002646A7">
      <w:pPr>
        <w:rPr>
          <w:rFonts w:cs="Arial"/>
          <w:sz w:val="20"/>
        </w:rPr>
      </w:pPr>
    </w:p>
    <w:p w14:paraId="1C52EA44" w14:textId="77777777" w:rsidR="004976F8" w:rsidRDefault="004976F8" w:rsidP="002646A7">
      <w:pPr>
        <w:rPr>
          <w:rFonts w:cs="Arial"/>
          <w:b/>
          <w:sz w:val="20"/>
        </w:rPr>
      </w:pPr>
    </w:p>
    <w:p w14:paraId="33F1F5B1" w14:textId="3739EC12" w:rsidR="002646A7" w:rsidRDefault="002646A7" w:rsidP="00FC0B87">
      <w:pPr>
        <w:pStyle w:val="Heading3"/>
      </w:pPr>
      <w:r w:rsidRPr="00221DFF">
        <w:t>Prot</w:t>
      </w:r>
      <w:r w:rsidR="009F4CCE">
        <w:t>M</w:t>
      </w:r>
      <w:r w:rsidRPr="00221DFF">
        <w:t>ap</w:t>
      </w:r>
    </w:p>
    <w:p w14:paraId="646B499C" w14:textId="442252CB" w:rsidR="00BA0D42" w:rsidRPr="00BA0D42" w:rsidRDefault="00BA0D42" w:rsidP="00BA0D42">
      <w:pPr>
        <w:rPr>
          <w:b/>
          <w:bCs/>
          <w:sz w:val="20"/>
        </w:rPr>
      </w:pPr>
      <w:r w:rsidRPr="00BA0D42">
        <w:rPr>
          <w:bCs/>
          <w:sz w:val="20"/>
        </w:rPr>
        <w:t>ProtMap</w:t>
      </w:r>
      <w:r w:rsidRPr="00BA0D42">
        <w:rPr>
          <w:b/>
          <w:bCs/>
          <w:sz w:val="20"/>
        </w:rPr>
        <w:t xml:space="preserve"> </w:t>
      </w:r>
      <w:r w:rsidRPr="00BA0D42">
        <w:rPr>
          <w:sz w:val="20"/>
        </w:rPr>
        <w:t>is a graphical gene neighborhood tool that displays clickable, linked genes upstream and downstream of</w:t>
      </w:r>
      <w:r>
        <w:rPr>
          <w:sz w:val="20"/>
        </w:rPr>
        <w:t xml:space="preserve"> the target. </w:t>
      </w:r>
      <w:r w:rsidRPr="00BA0D42">
        <w:rPr>
          <w:sz w:val="20"/>
        </w:rPr>
        <w:t xml:space="preserve">The </w:t>
      </w:r>
      <w:r w:rsidR="00D0540F" w:rsidRPr="00BA0D42">
        <w:rPr>
          <w:sz w:val="20"/>
        </w:rPr>
        <w:t>tool provides</w:t>
      </w:r>
      <w:r w:rsidRPr="00BA0D42">
        <w:rPr>
          <w:sz w:val="20"/>
        </w:rPr>
        <w:t xml:space="preserve"> useful graphical representation</w:t>
      </w:r>
      <w:r w:rsidR="00011737">
        <w:rPr>
          <w:sz w:val="20"/>
        </w:rPr>
        <w:t>s</w:t>
      </w:r>
      <w:r w:rsidRPr="00BA0D42">
        <w:rPr>
          <w:sz w:val="20"/>
        </w:rPr>
        <w:t xml:space="preserve"> of</w:t>
      </w:r>
      <w:r w:rsidRPr="00BA0D42">
        <w:rPr>
          <w:b/>
          <w:bCs/>
          <w:sz w:val="20"/>
        </w:rPr>
        <w:t xml:space="preserve"> </w:t>
      </w:r>
      <w:r w:rsidRPr="00BA0D42">
        <w:rPr>
          <w:sz w:val="20"/>
        </w:rPr>
        <w:t xml:space="preserve">the members of a particular cluster in </w:t>
      </w:r>
      <w:r w:rsidR="00011737">
        <w:rPr>
          <w:sz w:val="20"/>
        </w:rPr>
        <w:t xml:space="preserve">their </w:t>
      </w:r>
      <w:r w:rsidRPr="00BA0D42">
        <w:rPr>
          <w:sz w:val="20"/>
        </w:rPr>
        <w:t>genome environment</w:t>
      </w:r>
      <w:r w:rsidR="00011737">
        <w:rPr>
          <w:sz w:val="20"/>
        </w:rPr>
        <w:t>s</w:t>
      </w:r>
      <w:r w:rsidRPr="00BA0D42">
        <w:rPr>
          <w:sz w:val="20"/>
        </w:rPr>
        <w:t>. All members of the cluster of interest are mapped to their genome position,</w:t>
      </w:r>
      <w:r w:rsidR="00011737">
        <w:rPr>
          <w:sz w:val="20"/>
        </w:rPr>
        <w:t xml:space="preserve"> and</w:t>
      </w:r>
      <w:r w:rsidRPr="00BA0D42">
        <w:rPr>
          <w:sz w:val="20"/>
        </w:rPr>
        <w:t xml:space="preserve"> the tool displays genomic segments coding for </w:t>
      </w:r>
      <w:r w:rsidR="00011737">
        <w:rPr>
          <w:sz w:val="20"/>
        </w:rPr>
        <w:t xml:space="preserve">each </w:t>
      </w:r>
      <w:r w:rsidRPr="00BA0D42">
        <w:rPr>
          <w:sz w:val="20"/>
        </w:rPr>
        <w:t>member of the cluster. If the genom</w:t>
      </w:r>
      <w:r w:rsidR="00011737">
        <w:rPr>
          <w:sz w:val="20"/>
        </w:rPr>
        <w:t xml:space="preserve">e sequence </w:t>
      </w:r>
      <w:r w:rsidRPr="00BA0D42">
        <w:rPr>
          <w:sz w:val="20"/>
        </w:rPr>
        <w:t>is larger than 20KB, only</w:t>
      </w:r>
      <w:r w:rsidR="00011737">
        <w:rPr>
          <w:sz w:val="20"/>
        </w:rPr>
        <w:t xml:space="preserve"> the</w:t>
      </w:r>
      <w:r w:rsidRPr="00BA0D42">
        <w:rPr>
          <w:sz w:val="20"/>
        </w:rPr>
        <w:t xml:space="preserve"> relevant 10KB portion of</w:t>
      </w:r>
      <w:r w:rsidR="000B6A12">
        <w:rPr>
          <w:sz w:val="20"/>
        </w:rPr>
        <w:t xml:space="preserve"> it</w:t>
      </w:r>
      <w:r w:rsidRPr="00BA0D42">
        <w:rPr>
          <w:sz w:val="20"/>
        </w:rPr>
        <w:t xml:space="preserve"> is shown. </w:t>
      </w:r>
      <w:r w:rsidR="00011737">
        <w:rPr>
          <w:sz w:val="20"/>
        </w:rPr>
        <w:t>Users can s</w:t>
      </w:r>
      <w:r w:rsidRPr="00BA0D42">
        <w:rPr>
          <w:sz w:val="20"/>
        </w:rPr>
        <w:t xml:space="preserve">earch for the cluster of interest by using cluster access or </w:t>
      </w:r>
      <w:r w:rsidR="00011737">
        <w:rPr>
          <w:sz w:val="20"/>
        </w:rPr>
        <w:t xml:space="preserve">the </w:t>
      </w:r>
      <w:r w:rsidRPr="00BA0D42">
        <w:rPr>
          <w:sz w:val="20"/>
        </w:rPr>
        <w:t xml:space="preserve">COG/VOG attribute of the cluster. The display is centered on protein members of the cluster. </w:t>
      </w:r>
      <w:r w:rsidR="00011737">
        <w:rPr>
          <w:sz w:val="20"/>
        </w:rPr>
        <w:t>Users</w:t>
      </w:r>
      <w:r w:rsidR="00011737" w:rsidRPr="00BA0D42">
        <w:rPr>
          <w:sz w:val="20"/>
        </w:rPr>
        <w:t xml:space="preserve"> </w:t>
      </w:r>
      <w:r w:rsidRPr="00BA0D42">
        <w:rPr>
          <w:sz w:val="20"/>
        </w:rPr>
        <w:t xml:space="preserve">can select </w:t>
      </w:r>
      <w:r w:rsidR="00F770F3">
        <w:rPr>
          <w:sz w:val="20"/>
        </w:rPr>
        <w:t>additional</w:t>
      </w:r>
      <w:r w:rsidR="00011737" w:rsidRPr="00BA0D42">
        <w:rPr>
          <w:sz w:val="20"/>
        </w:rPr>
        <w:t xml:space="preserve"> </w:t>
      </w:r>
      <w:r w:rsidRPr="00BA0D42">
        <w:rPr>
          <w:sz w:val="20"/>
        </w:rPr>
        <w:t>set</w:t>
      </w:r>
      <w:r w:rsidR="00011737">
        <w:rPr>
          <w:sz w:val="20"/>
        </w:rPr>
        <w:t>s</w:t>
      </w:r>
      <w:r w:rsidRPr="00BA0D42">
        <w:rPr>
          <w:sz w:val="20"/>
        </w:rPr>
        <w:t xml:space="preserve"> of related proteins by clicking on </w:t>
      </w:r>
      <w:r w:rsidR="00011737">
        <w:rPr>
          <w:sz w:val="20"/>
        </w:rPr>
        <w:t xml:space="preserve">the </w:t>
      </w:r>
      <w:r w:rsidRPr="00BA0D42">
        <w:rPr>
          <w:sz w:val="20"/>
        </w:rPr>
        <w:t>corresponding colored arrow</w:t>
      </w:r>
      <w:r w:rsidR="00011737">
        <w:rPr>
          <w:sz w:val="20"/>
        </w:rPr>
        <w:t>s</w:t>
      </w:r>
      <w:r w:rsidRPr="00BA0D42">
        <w:rPr>
          <w:sz w:val="20"/>
        </w:rPr>
        <w:t xml:space="preserve"> depicting a protein, or find a cluster of interest by name, protein </w:t>
      </w:r>
      <w:r w:rsidR="005C0CD5">
        <w:rPr>
          <w:sz w:val="20"/>
        </w:rPr>
        <w:t>accession</w:t>
      </w:r>
      <w:r w:rsidRPr="00BA0D42">
        <w:rPr>
          <w:sz w:val="20"/>
        </w:rPr>
        <w:t xml:space="preserve">, or gene locus_tag. </w:t>
      </w:r>
      <w:r w:rsidRPr="00BA0D42">
        <w:rPr>
          <w:b/>
          <w:bCs/>
          <w:sz w:val="20"/>
        </w:rPr>
        <w:t> </w:t>
      </w:r>
      <w:r w:rsidRPr="00BA0D42">
        <w:rPr>
          <w:sz w:val="20"/>
        </w:rPr>
        <w:t>This resource is useful in identifying paralogs</w:t>
      </w:r>
      <w:r w:rsidR="00011737">
        <w:rPr>
          <w:sz w:val="20"/>
        </w:rPr>
        <w:t xml:space="preserve"> as well as </w:t>
      </w:r>
      <w:r w:rsidRPr="00BA0D42">
        <w:rPr>
          <w:sz w:val="20"/>
        </w:rPr>
        <w:t>missing or incorrectly annotated genes.</w:t>
      </w:r>
    </w:p>
    <w:p w14:paraId="60598478" w14:textId="77777777" w:rsidR="00EB6F50" w:rsidRPr="00221DFF" w:rsidRDefault="000046FE" w:rsidP="002646A7">
      <w:pPr>
        <w:rPr>
          <w:rFonts w:cs="Arial"/>
          <w:sz w:val="20"/>
        </w:rPr>
      </w:pPr>
      <w:hyperlink r:id="rId22" w:history="1">
        <w:r w:rsidR="00EB6F50" w:rsidRPr="00221DFF">
          <w:rPr>
            <w:rStyle w:val="Hyperlink"/>
            <w:rFonts w:cs="Arial"/>
            <w:sz w:val="20"/>
          </w:rPr>
          <w:t>http://www.ncbi.nlm.nih.gov/sutils/protmap.cgi</w:t>
        </w:r>
      </w:hyperlink>
    </w:p>
    <w:p w14:paraId="653BE1A3" w14:textId="77777777" w:rsidR="00EB6F50" w:rsidRPr="00221DFF" w:rsidRDefault="00EB6F50" w:rsidP="002646A7">
      <w:pPr>
        <w:rPr>
          <w:rFonts w:cs="Arial"/>
          <w:sz w:val="20"/>
        </w:rPr>
      </w:pPr>
    </w:p>
    <w:p w14:paraId="454C063A" w14:textId="77777777" w:rsidR="00EB6F50" w:rsidRPr="00221DFF" w:rsidRDefault="00EB6F50" w:rsidP="002646A7">
      <w:pPr>
        <w:rPr>
          <w:rFonts w:cs="Arial"/>
          <w:sz w:val="20"/>
        </w:rPr>
      </w:pPr>
    </w:p>
    <w:p w14:paraId="1097BB03" w14:textId="77777777" w:rsidR="003155E8" w:rsidRDefault="003155E8" w:rsidP="009F4CCE">
      <w:pPr>
        <w:pStyle w:val="Heading2"/>
        <w:rPr>
          <w:lang w:val="en"/>
        </w:rPr>
      </w:pPr>
      <w:r w:rsidRPr="00FC0B87">
        <w:t>References</w:t>
      </w:r>
      <w:r w:rsidR="00EC0140" w:rsidRPr="00700D74">
        <w:rPr>
          <w:lang w:val="en"/>
        </w:rPr>
        <w:t xml:space="preserve"> </w:t>
      </w:r>
    </w:p>
    <w:p w14:paraId="27EE10B2" w14:textId="77777777" w:rsidR="00ED6A92" w:rsidRPr="00ED6A92" w:rsidRDefault="00ED6A92" w:rsidP="00FC0B87">
      <w:pPr>
        <w:pStyle w:val="Reference"/>
      </w:pPr>
      <w:r w:rsidRPr="00ED6A92">
        <w:t>1. Ahn YY, Bagrow J, Lehmann S. Link communities reveal multiscale complexity in networks. Nature. 2010 Aug 5;466(5):761-765.</w:t>
      </w:r>
    </w:p>
    <w:p w14:paraId="730355C0" w14:textId="73CF10EE" w:rsidR="00ED6A92" w:rsidRPr="00ED6A92" w:rsidRDefault="00ED6A92" w:rsidP="00FC0B87">
      <w:pPr>
        <w:pStyle w:val="Reference"/>
      </w:pPr>
      <w:r w:rsidRPr="00ED6A92">
        <w:t>2. Cameron M, Bernstein Y, Williams HE. Clustered Sequence Representation for Fast Homology Search. J Comput Biol. 2007 June; 14(5): 594-614.</w:t>
      </w:r>
    </w:p>
    <w:p w14:paraId="61FDA5D4" w14:textId="77777777" w:rsidR="00ED6A92" w:rsidRPr="00ED6A92" w:rsidRDefault="00ED6A92" w:rsidP="00FC0B87">
      <w:pPr>
        <w:pStyle w:val="Reference"/>
      </w:pPr>
      <w:r w:rsidRPr="00ED6A92">
        <w:t>3. Clauset A, Moore C, Newman ME. Hierarchical structure and the prediction of missing links in networks. Nature. 2008 May 1;453:98-100.</w:t>
      </w:r>
    </w:p>
    <w:p w14:paraId="5ACF9240" w14:textId="77777777" w:rsidR="00ED6A92" w:rsidRPr="00ED6A92" w:rsidRDefault="00ED6A92" w:rsidP="00FC0B87">
      <w:pPr>
        <w:pStyle w:val="Reference"/>
      </w:pPr>
      <w:r w:rsidRPr="00ED6A92">
        <w:t>4. Cormen TH, Leiserson CE, Rivest RL, Stein C. Introduction to algorithms. 3rd</w:t>
      </w:r>
      <w:r w:rsidR="00236786">
        <w:t xml:space="preserve"> Edition, The MIT Press;</w:t>
      </w:r>
      <w:r w:rsidRPr="00ED6A92">
        <w:t xml:space="preserve"> 2009.</w:t>
      </w:r>
    </w:p>
    <w:p w14:paraId="682A9217" w14:textId="77777777" w:rsidR="00ED6A92" w:rsidRPr="00ED6A92" w:rsidRDefault="00ED6A92" w:rsidP="00FC0B87">
      <w:pPr>
        <w:pStyle w:val="Reference"/>
      </w:pPr>
      <w:r w:rsidRPr="00ED6A92">
        <w:t>5. Edgar RC. Search and clustering orders of magnitude faster than BLAST. Bioinformatics. 2010 Oct 1; 26(19):2460-2461.</w:t>
      </w:r>
    </w:p>
    <w:p w14:paraId="44336B53" w14:textId="77777777" w:rsidR="00ED6A92" w:rsidRPr="00ED6A92" w:rsidRDefault="00ED6A92" w:rsidP="00FC0B87">
      <w:pPr>
        <w:pStyle w:val="Reference"/>
      </w:pPr>
      <w:r w:rsidRPr="00ED6A92">
        <w:t>6. Fairman-Williams ME, Jankowsky E. Unwinding initiation by the viral RNA helicase NPH-II. J Mol Biol. 2012 Feb 3;415(5):819-832.</w:t>
      </w:r>
    </w:p>
    <w:p w14:paraId="03A9295F" w14:textId="77777777" w:rsidR="00ED6A92" w:rsidRPr="00ED6A92" w:rsidRDefault="00ED6A92" w:rsidP="00FC0B87">
      <w:pPr>
        <w:pStyle w:val="Reference"/>
      </w:pPr>
      <w:r w:rsidRPr="00ED6A92">
        <w:t>7. Fitch WM. Distinguishing homologous from analogous proteins. Syst Zool 1970 Jun;19:99-106.</w:t>
      </w:r>
    </w:p>
    <w:p w14:paraId="0BA4C94D" w14:textId="77777777" w:rsidR="00ED6A92" w:rsidRPr="00ED6A92" w:rsidRDefault="00ED6A92" w:rsidP="00FC0B87">
      <w:pPr>
        <w:pStyle w:val="Reference"/>
      </w:pPr>
      <w:r w:rsidRPr="00ED6A92">
        <w:t>8. Fleischmann RD, Adams MD, White O, Clayton RA, Kirkness EF, Kerlavage AR, Bult CJ, Tomb JF, Dougherty BA, Merrick JM, et al. Whole-genome random sequencing and assembly of Haemophilus influenzae Rd. Science. 1995 Jul 28;269(5223):496-512.</w:t>
      </w:r>
    </w:p>
    <w:p w14:paraId="4BCB53C2" w14:textId="77777777" w:rsidR="00ED6A92" w:rsidRPr="00ED6A92" w:rsidRDefault="00ED6A92" w:rsidP="00FC0B87">
      <w:pPr>
        <w:pStyle w:val="Reference"/>
      </w:pPr>
      <w:r w:rsidRPr="00ED6A92">
        <w:t>9. Gargantini PR, Serradell MC, Torri A, Lujan HD. Putative SF2 helicases of the early-branching eukaryote Giardia lamblia are involved in antigenic variation and parasite differentiation into cysts. BMC Microbiol. 2012 Nov 28;12:284.</w:t>
      </w:r>
    </w:p>
    <w:p w14:paraId="52590993" w14:textId="417CADEA" w:rsidR="00ED6A92" w:rsidRPr="00ED6A92" w:rsidRDefault="00ED6A92" w:rsidP="00FC0B87">
      <w:pPr>
        <w:pStyle w:val="Reference"/>
      </w:pPr>
      <w:r w:rsidRPr="00ED6A92">
        <w:lastRenderedPageBreak/>
        <w:t>10. Goh LL, Sim TS. Homology modeling and mutagenesis analyses of Plasmodium falciparum falcipain 2A: implications for rational drug design. Biochem Biophys Res Commun. 2004 Oct 15;323(2):565-572</w:t>
      </w:r>
      <w:r w:rsidR="00697435">
        <w:t>.</w:t>
      </w:r>
    </w:p>
    <w:p w14:paraId="3CD12CE9" w14:textId="1EA8D144" w:rsidR="00ED6A92" w:rsidRPr="009F4CCE" w:rsidRDefault="00ED6A92" w:rsidP="00FC0B87">
      <w:pPr>
        <w:pStyle w:val="Reference"/>
      </w:pPr>
      <w:r w:rsidRPr="009F4CCE">
        <w:t>11. Hawkins LK and Wold WS. A 12,500 MW protein is coded by region E3 of adenovirus. Virology. 1992 Jun;188(2):486-494</w:t>
      </w:r>
      <w:r w:rsidR="00697435">
        <w:t>.</w:t>
      </w:r>
    </w:p>
    <w:p w14:paraId="3FB4BEB0" w14:textId="77777777" w:rsidR="00ED6A92" w:rsidRPr="00ED6A92" w:rsidRDefault="00ED6A92" w:rsidP="00FC0B87">
      <w:pPr>
        <w:pStyle w:val="Reference"/>
      </w:pPr>
      <w:r w:rsidRPr="00ED6A92">
        <w:t>12. Holm L, Sander C. Removing near-neighbor redundancy from large protein sequence collections. Bioinformatics. 1998 Jun;14(5), 423–429.</w:t>
      </w:r>
    </w:p>
    <w:p w14:paraId="140429D3" w14:textId="77777777" w:rsidR="00ED6A92" w:rsidRPr="009F4CCE" w:rsidRDefault="00ED6A92" w:rsidP="00FC0B87">
      <w:pPr>
        <w:pStyle w:val="Reference"/>
      </w:pPr>
      <w:r w:rsidRPr="009F4CCE">
        <w:t>13. Hughes AL, Irausquin S, Friedman R. The evolutionary biology of poxviruses. Infect Genet Evol. 2010 Jan;10(1):50-59.</w:t>
      </w:r>
    </w:p>
    <w:p w14:paraId="7EC54CDB" w14:textId="0285A2B1" w:rsidR="00ED6A92" w:rsidRPr="00ED6A92" w:rsidRDefault="00ED6A92" w:rsidP="00FC0B87">
      <w:pPr>
        <w:pStyle w:val="Reference"/>
      </w:pPr>
      <w:r w:rsidRPr="00ED6A92">
        <w:t>14. Kaplan N, Sasson O, Inbar U, Friedlich M, Fromer M, Fleischer H, Portugaly E, Linial N, Linial M. ProtoNet 4.0: a hierarchical classification of one million protein sequences. Nucleic Acids Res 2005 Jan 1; 33((Database issue)): D216-D218.</w:t>
      </w:r>
    </w:p>
    <w:p w14:paraId="72225927" w14:textId="56371E86" w:rsidR="00ED6A92" w:rsidRPr="00ED6A92" w:rsidRDefault="00ED6A92" w:rsidP="00FC0B87">
      <w:pPr>
        <w:pStyle w:val="Reference"/>
      </w:pPr>
      <w:r w:rsidRPr="00ED6A92">
        <w:t>15. Klimke W, Agarwala R, Badretdin A, Chetvernin S, Ciufo S, Fedorov B, Kiryutin B, O'Neill K, Resch W, Resenchuk S, Schafer S, Tolstoy I, Tatusova T. The National Center for Biotechnology Information's Protein Clusters Database. Nucleic Acids Res. 2009 Jan;37(Database issue):D216-23</w:t>
      </w:r>
    </w:p>
    <w:p w14:paraId="2AC32714" w14:textId="77777777" w:rsidR="00ED6A92" w:rsidRPr="009F4CCE" w:rsidRDefault="00ED6A92" w:rsidP="00FC0B87">
      <w:pPr>
        <w:pStyle w:val="Reference"/>
      </w:pPr>
      <w:r w:rsidRPr="009F4CCE">
        <w:t>16. Koonin EV. Orthologs, paralogs, and evolutionary genomics. Annu Rev Genet. 2005;39:309-38</w:t>
      </w:r>
    </w:p>
    <w:p w14:paraId="1BBEF220" w14:textId="1516F8F9" w:rsidR="00ED6A92" w:rsidRPr="00ED6A92" w:rsidRDefault="00ED6A92" w:rsidP="00FC0B87">
      <w:pPr>
        <w:pStyle w:val="Reference"/>
      </w:pPr>
      <w:r w:rsidRPr="00ED6A92">
        <w:t>17. Krause A, Stoye J, Vingron M. Large scale hierarchical clustering of protein sequences. BMC Bioinformatics. 2005 Jan 22;6:6-15</w:t>
      </w:r>
      <w:r w:rsidR="00697435">
        <w:t>.</w:t>
      </w:r>
    </w:p>
    <w:p w14:paraId="075B7086" w14:textId="77777777" w:rsidR="00ED6A92" w:rsidRPr="00ED6A92" w:rsidRDefault="00ED6A92" w:rsidP="00FC0B87">
      <w:pPr>
        <w:pStyle w:val="Reference"/>
      </w:pPr>
      <w:r w:rsidRPr="00ED6A92">
        <w:t>18. Loewenstein Y, Portugaly E, Fromer M, Linial M. Efficient algorithms for accurate hierarchical clustering of huge datasets: tackling the entire protein space. Bioinformatics. 2008 Jul 1; 24(13):i41-49.</w:t>
      </w:r>
    </w:p>
    <w:p w14:paraId="59F86F50" w14:textId="77777777" w:rsidR="00ED6A92" w:rsidRPr="00ED6A92" w:rsidRDefault="00ED6A92" w:rsidP="00FC0B87">
      <w:pPr>
        <w:pStyle w:val="Reference"/>
      </w:pPr>
      <w:r w:rsidRPr="00ED6A92">
        <w:t xml:space="preserve">19. Ranji A, Boris-Lawrie K. RNA helicases: emerging roles in viral replication and the host innate response. RNA Biol. 2010 Nov-Dec;7(6):775-87. </w:t>
      </w:r>
    </w:p>
    <w:p w14:paraId="2AD33777" w14:textId="77777777" w:rsidR="00ED6A92" w:rsidRPr="00ED6A92" w:rsidRDefault="00ED6A92" w:rsidP="00FC0B87">
      <w:pPr>
        <w:pStyle w:val="Reference"/>
      </w:pPr>
      <w:r w:rsidRPr="00ED6A92">
        <w:t>20. Shenai BR, Sijwali PS, Singh A, Rosenthal PJ. Characterization of native and recombinant falcipain-2, a principal trophozoite cysteine protease and essential hemoglobinase of Plasmodium falciparum. J Biol Chem. 2000 Sep 15; 275(37):29000-29010.</w:t>
      </w:r>
    </w:p>
    <w:p w14:paraId="04039D30" w14:textId="77777777" w:rsidR="00ED6A92" w:rsidRPr="00ED6A92" w:rsidRDefault="00ED6A92" w:rsidP="00FC0B87">
      <w:pPr>
        <w:pStyle w:val="Reference"/>
        <w:rPr>
          <w:color w:val="403838"/>
          <w:lang w:val="en"/>
        </w:rPr>
      </w:pPr>
      <w:r w:rsidRPr="00ED6A92">
        <w:rPr>
          <w:color w:val="403838"/>
          <w:lang w:val="en"/>
        </w:rPr>
        <w:t xml:space="preserve">21. Takano M, Inagaki N, Xie X, </w:t>
      </w:r>
      <w:r w:rsidRPr="00ED6A92">
        <w:rPr>
          <w:rFonts w:eastAsia="Times New Roman"/>
        </w:rPr>
        <w:t>Yuzurihara N, Hihara F, Ishizuka T, Yano M, Nishimura M, Miyao A, Hirochika H, Shinomura T</w:t>
      </w:r>
      <w:r w:rsidRPr="00ED6A92">
        <w:rPr>
          <w:color w:val="403838"/>
          <w:lang w:val="en"/>
        </w:rPr>
        <w:t xml:space="preserve">. </w:t>
      </w:r>
      <w:r w:rsidRPr="00ED6A92">
        <w:rPr>
          <w:rFonts w:eastAsia="Times New Roman"/>
        </w:rPr>
        <w:t>Distinct and cooperative functions of phytochromes A, B, and C in the control of deetiolation and flowering in rice.</w:t>
      </w:r>
      <w:r w:rsidRPr="00ED6A92">
        <w:rPr>
          <w:color w:val="403838"/>
          <w:lang w:val="en"/>
        </w:rPr>
        <w:t xml:space="preserve"> Plant Cell. 2005 Dec;17(12):3311-3325.</w:t>
      </w:r>
    </w:p>
    <w:p w14:paraId="19B1DC75" w14:textId="77777777" w:rsidR="00ED6A92" w:rsidRPr="00ED6A92" w:rsidRDefault="00ED6A92" w:rsidP="00FC0B87">
      <w:pPr>
        <w:pStyle w:val="Reference"/>
      </w:pPr>
      <w:r w:rsidRPr="00ED6A92">
        <w:t>22. Tarjan RE, Data structures and network algorithms, CBMS 44, Society for Industrial and Applied Mathematics, Phil</w:t>
      </w:r>
      <w:r w:rsidR="00D63288">
        <w:t>adelphia, PA;</w:t>
      </w:r>
      <w:r w:rsidRPr="00ED6A92">
        <w:t xml:space="preserve"> 1983.</w:t>
      </w:r>
    </w:p>
    <w:p w14:paraId="576339D0" w14:textId="3EAB659A" w:rsidR="00ED6A92" w:rsidRPr="00ED6A92" w:rsidRDefault="00ED6A92" w:rsidP="00FC0B87">
      <w:pPr>
        <w:pStyle w:val="Reference"/>
      </w:pPr>
      <w:r w:rsidRPr="00ED6A92">
        <w:t xml:space="preserve">23. </w:t>
      </w:r>
      <w:r w:rsidRPr="00211F02">
        <w:rPr>
          <w:rFonts w:cs="Arial"/>
        </w:rPr>
        <w:t>Tatusov RL</w:t>
      </w:r>
      <w:r w:rsidRPr="00697435">
        <w:t xml:space="preserve">, </w:t>
      </w:r>
      <w:r w:rsidRPr="00211F02">
        <w:rPr>
          <w:rFonts w:cs="Arial"/>
        </w:rPr>
        <w:t>Koonin EV</w:t>
      </w:r>
      <w:r w:rsidRPr="00697435">
        <w:t xml:space="preserve">, </w:t>
      </w:r>
      <w:r w:rsidRPr="00211F02">
        <w:rPr>
          <w:rFonts w:cs="Arial"/>
        </w:rPr>
        <w:t>Lipman DJ</w:t>
      </w:r>
      <w:r w:rsidRPr="00697435">
        <w:t>.</w:t>
      </w:r>
      <w:r w:rsidRPr="00ED6A92">
        <w:t xml:space="preserve"> A genomic perspective on protein families. Science. 1997 Oct 24;278(5338):631-637. </w:t>
      </w:r>
    </w:p>
    <w:p w14:paraId="14ADBB14" w14:textId="77777777" w:rsidR="004E0F8B" w:rsidRDefault="004E0F8B" w:rsidP="00FC0B87">
      <w:pPr>
        <w:pStyle w:val="Reference"/>
      </w:pPr>
      <w:r w:rsidRPr="00ED6A92">
        <w:t>24. Zaslavsky L, Tatusova T: Mining the NCBI influenza sequence database: adaptive grouping of BLAST results using precalculated neighbor indexing. PLoS Curr 2009. 1, RRN1124</w:t>
      </w:r>
    </w:p>
    <w:p w14:paraId="2342BEA0" w14:textId="1C2C5AD1" w:rsidR="00C35B16" w:rsidRDefault="00C35B16" w:rsidP="00FC0B87">
      <w:pPr>
        <w:pStyle w:val="Reference"/>
      </w:pPr>
      <w:r w:rsidRPr="00C35B16">
        <w:t>25. Plücken H1, Müller B, Grohmann D, Westhoff P, Eichacker LA. The HCF136 protein is essential for assembly of the photosystem II reaction center in Arabidopsis thaliana. FEBS Lett. 2002 Dec 4;532(1-2):85-90.</w:t>
      </w:r>
    </w:p>
    <w:p w14:paraId="482D41E8" w14:textId="1F030F27" w:rsidR="00C35B16" w:rsidRPr="00972421" w:rsidRDefault="00C35B16" w:rsidP="00FC0B87">
      <w:pPr>
        <w:pStyle w:val="Reference"/>
        <w:rPr>
          <w:rFonts w:eastAsia="Times New Roman"/>
        </w:rPr>
      </w:pPr>
      <w:r w:rsidRPr="00D77977">
        <w:rPr>
          <w:rFonts w:eastAsia="Times New Roman"/>
        </w:rPr>
        <w:t>26.</w:t>
      </w:r>
      <w:r w:rsidRPr="00972421">
        <w:rPr>
          <w:rFonts w:eastAsia="Times New Roman"/>
        </w:rPr>
        <w:t xml:space="preserve"> Meurer J, Plücken H, Kowallik KV, Westhoff P.</w:t>
      </w:r>
      <w:r w:rsidRPr="00972421">
        <w:rPr>
          <w:rFonts w:eastAsia="Times New Roman"/>
          <w:bCs/>
          <w:kern w:val="36"/>
        </w:rPr>
        <w:t xml:space="preserve"> A nuclear-encoded protein of prokaryotic origin is essential for the stability of photosystem II in Arabidopsis thaliana.</w:t>
      </w:r>
      <w:r w:rsidRPr="00972421">
        <w:rPr>
          <w:rFonts w:eastAsia="Times New Roman"/>
        </w:rPr>
        <w:t xml:space="preserve"> </w:t>
      </w:r>
      <w:hyperlink r:id="rId23" w:tooltip="The EMBO journal." w:history="1">
        <w:r w:rsidRPr="00972421">
          <w:rPr>
            <w:rFonts w:eastAsia="Times New Roman"/>
          </w:rPr>
          <w:t>EMBO J.</w:t>
        </w:r>
      </w:hyperlink>
      <w:r w:rsidRPr="00972421">
        <w:rPr>
          <w:rFonts w:eastAsia="Times New Roman"/>
        </w:rPr>
        <w:t> 1998 Sep 15;17(18):5286-</w:t>
      </w:r>
      <w:r w:rsidR="0048544F">
        <w:rPr>
          <w:rFonts w:eastAsia="Times New Roman"/>
        </w:rPr>
        <w:t>52</w:t>
      </w:r>
      <w:r w:rsidRPr="00972421">
        <w:rPr>
          <w:rFonts w:eastAsia="Times New Roman"/>
        </w:rPr>
        <w:t>97.</w:t>
      </w:r>
    </w:p>
    <w:p w14:paraId="6CA4B2FA" w14:textId="77ABD1F0" w:rsidR="00C35B16" w:rsidRPr="00ED6A92" w:rsidRDefault="00C35B16" w:rsidP="00FC0B87">
      <w:pPr>
        <w:pStyle w:val="Reference"/>
        <w:rPr>
          <w:rFonts w:cs="Arial"/>
        </w:rPr>
      </w:pPr>
      <w:r w:rsidRPr="00D77977">
        <w:rPr>
          <w:rFonts w:eastAsia="Times New Roman"/>
        </w:rPr>
        <w:t>27.</w:t>
      </w:r>
      <w:r w:rsidRPr="00972421">
        <w:rPr>
          <w:rFonts w:eastAsia="Times New Roman"/>
        </w:rPr>
        <w:t xml:space="preserve"> Peltier JB, Emanuelsson O, </w:t>
      </w:r>
      <w:bookmarkStart w:id="0" w:name="_GoBack"/>
      <w:bookmarkEnd w:id="0"/>
      <w:r w:rsidRPr="00972421">
        <w:rPr>
          <w:rFonts w:eastAsia="Times New Roman"/>
        </w:rPr>
        <w:t>Kalume DE, Ytterberg J, Friso G, Rudella A, Liberles DA, Söderberg L, Roepstorff P, von Heijne G, van Wijk KJ.</w:t>
      </w:r>
      <w:r w:rsidRPr="00972421">
        <w:rPr>
          <w:rFonts w:eastAsia="Times New Roman"/>
          <w:bCs/>
          <w:kern w:val="36"/>
        </w:rPr>
        <w:t xml:space="preserve"> Central functions of the lumenal and peripheral thylakoid proteome of Arabidopsis determined by experimentation and genome-wide prediction.</w:t>
      </w:r>
      <w:r w:rsidRPr="00972421">
        <w:rPr>
          <w:rFonts w:eastAsia="Times New Roman"/>
        </w:rPr>
        <w:t xml:space="preserve"> Plant Cell. 2002 Jan;14(1):211-</w:t>
      </w:r>
      <w:r w:rsidR="0048544F">
        <w:rPr>
          <w:rFonts w:eastAsia="Times New Roman"/>
        </w:rPr>
        <w:t>2</w:t>
      </w:r>
      <w:r w:rsidRPr="00972421">
        <w:rPr>
          <w:rFonts w:eastAsia="Times New Roman"/>
        </w:rPr>
        <w:t>36.</w:t>
      </w:r>
    </w:p>
    <w:p w14:paraId="4B2CABC3" w14:textId="77777777" w:rsidR="0098055B" w:rsidRPr="008D56D5" w:rsidRDefault="0098055B" w:rsidP="008D56D5"/>
    <w:p w14:paraId="0BC62971" w14:textId="77777777" w:rsidR="0098055B" w:rsidRPr="008D56D5" w:rsidRDefault="0098055B" w:rsidP="008D56D5"/>
    <w:p w14:paraId="683465F0" w14:textId="77777777" w:rsidR="00AB4B64" w:rsidRPr="009256D4" w:rsidRDefault="00AB4B64" w:rsidP="00AB4B64">
      <w:pPr>
        <w:pStyle w:val="FiguresTablesBoxesSectionHeading"/>
      </w:pPr>
      <w:r w:rsidRPr="009256D4">
        <w:t>Figures, Tables and Boxes Appendix (do not delete)</w:t>
      </w:r>
    </w:p>
    <w:p w14:paraId="3D378D6B" w14:textId="77777777" w:rsidR="00AB4B64" w:rsidRPr="009256D4" w:rsidRDefault="00AB4B64" w:rsidP="00AB4B64">
      <w:pPr>
        <w:pStyle w:val="Comment"/>
      </w:pPr>
      <w:r w:rsidRPr="009256D4">
        <w:t>Place numbered figures, tables and boxes (referred to from the main text) below.</w:t>
      </w:r>
    </w:p>
    <w:p w14:paraId="1739048F" w14:textId="77777777" w:rsidR="00AB4B64" w:rsidRPr="009256D4" w:rsidRDefault="00AB4B64" w:rsidP="00AB4B64">
      <w:pPr>
        <w:pStyle w:val="Comment"/>
      </w:pPr>
      <w:r w:rsidRPr="009256D4">
        <w:t>“In-line” figures (e.g. equations) and tables should be placed within the main text in their desired final location.</w:t>
      </w:r>
    </w:p>
    <w:p w14:paraId="4C30801C" w14:textId="0170AEC1" w:rsidR="0098055B" w:rsidRPr="008D56D5" w:rsidRDefault="00AB4B64" w:rsidP="00AB4B64">
      <w:pPr>
        <w:pStyle w:val="Comment"/>
      </w:pPr>
      <w:r w:rsidRPr="009256D4">
        <w:t>Boxes can have a single level of sections; the titles for these sections should be marked up in “Box subhead” style</w:t>
      </w:r>
    </w:p>
    <w:p w14:paraId="7BAF8484" w14:textId="77777777" w:rsidR="003155E8" w:rsidRDefault="003155E8" w:rsidP="008D56D5"/>
    <w:p w14:paraId="44E9AAB3" w14:textId="77777777" w:rsidR="00AB4B64" w:rsidRDefault="00AB4B64" w:rsidP="00AB4B64">
      <w:pPr>
        <w:pStyle w:val="Figuregraphic"/>
        <w:rPr>
          <w:rFonts w:eastAsiaTheme="minorEastAsia"/>
        </w:rPr>
      </w:pPr>
      <w:r>
        <w:rPr>
          <w:rFonts w:eastAsiaTheme="minorEastAsia"/>
          <w:noProof/>
        </w:rPr>
        <w:lastRenderedPageBreak/>
        <w:drawing>
          <wp:inline distT="0" distB="0" distL="0" distR="0" wp14:anchorId="504EA9DD" wp14:editId="74D75B19">
            <wp:extent cx="2246164" cy="1534265"/>
            <wp:effectExtent l="0" t="0" r="1905"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cfig1.png"/>
                    <pic:cNvPicPr/>
                  </pic:nvPicPr>
                  <pic:blipFill>
                    <a:blip r:embed="rId24">
                      <a:extLst>
                        <a:ext uri="{28A0092B-C50C-407E-A947-70E740481C1C}">
                          <a14:useLocalDpi xmlns:a14="http://schemas.microsoft.com/office/drawing/2010/main" val="0"/>
                        </a:ext>
                      </a:extLst>
                    </a:blip>
                    <a:stretch>
                      <a:fillRect/>
                    </a:stretch>
                  </pic:blipFill>
                  <pic:spPr>
                    <a:xfrm>
                      <a:off x="0" y="0"/>
                      <a:ext cx="2246164" cy="1534265"/>
                    </a:xfrm>
                    <a:prstGeom prst="rect">
                      <a:avLst/>
                    </a:prstGeom>
                  </pic:spPr>
                </pic:pic>
              </a:graphicData>
            </a:graphic>
          </wp:inline>
        </w:drawing>
      </w:r>
    </w:p>
    <w:p w14:paraId="5346704A" w14:textId="77777777" w:rsidR="00AB4B64" w:rsidRDefault="00AB4B64" w:rsidP="00AB4B64">
      <w:pPr>
        <w:pStyle w:val="Figurenumberandcaption"/>
      </w:pPr>
      <w:r w:rsidRPr="00B54BD8">
        <w:t>Figure 1. Minimal and maximum distance between clusters</w:t>
      </w:r>
    </w:p>
    <w:p w14:paraId="5AECDC8E" w14:textId="77777777" w:rsidR="00AB4B64" w:rsidRDefault="00AB4B64" w:rsidP="008D56D5"/>
    <w:p w14:paraId="39A3B359" w14:textId="77777777" w:rsidR="00AB4B64" w:rsidRDefault="00AB4B64" w:rsidP="00AB4B64">
      <w:pPr>
        <w:pStyle w:val="Figuregraphic"/>
        <w:rPr>
          <w:rFonts w:eastAsiaTheme="minorEastAsia"/>
        </w:rPr>
      </w:pPr>
      <w:r>
        <w:rPr>
          <w:rFonts w:eastAsiaTheme="minorEastAsia"/>
          <w:noProof/>
        </w:rPr>
        <w:drawing>
          <wp:inline distT="0" distB="0" distL="0" distR="0" wp14:anchorId="7FD2CB40" wp14:editId="54CC41FF">
            <wp:extent cx="2656401" cy="17989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cfig2.png"/>
                    <pic:cNvPicPr/>
                  </pic:nvPicPr>
                  <pic:blipFill>
                    <a:blip r:embed="rId25">
                      <a:extLst>
                        <a:ext uri="{28A0092B-C50C-407E-A947-70E740481C1C}">
                          <a14:useLocalDpi xmlns:a14="http://schemas.microsoft.com/office/drawing/2010/main" val="0"/>
                        </a:ext>
                      </a:extLst>
                    </a:blip>
                    <a:stretch>
                      <a:fillRect/>
                    </a:stretch>
                  </pic:blipFill>
                  <pic:spPr>
                    <a:xfrm>
                      <a:off x="0" y="0"/>
                      <a:ext cx="2684833" cy="1818210"/>
                    </a:xfrm>
                    <a:prstGeom prst="rect">
                      <a:avLst/>
                    </a:prstGeom>
                  </pic:spPr>
                </pic:pic>
              </a:graphicData>
            </a:graphic>
          </wp:inline>
        </w:drawing>
      </w:r>
    </w:p>
    <w:p w14:paraId="58243359" w14:textId="77777777" w:rsidR="00AB4B64" w:rsidRDefault="00AB4B64" w:rsidP="00AB4B64">
      <w:pPr>
        <w:pStyle w:val="Figurenumberandcaption"/>
      </w:pPr>
      <w:r w:rsidRPr="0034279B">
        <w:t>Figure 2. Disjoint sets.</w:t>
      </w:r>
    </w:p>
    <w:p w14:paraId="4BD62780" w14:textId="77777777" w:rsidR="00AB4B64" w:rsidRDefault="00AB4B64" w:rsidP="008D56D5"/>
    <w:p w14:paraId="0852C903" w14:textId="77777777" w:rsidR="00AB4B64" w:rsidRPr="00221DFF" w:rsidRDefault="00AB4B64" w:rsidP="00AB4B64">
      <w:pPr>
        <w:pStyle w:val="Figuregraphic"/>
      </w:pPr>
      <w:r>
        <w:rPr>
          <w:noProof/>
        </w:rPr>
        <w:drawing>
          <wp:inline distT="0" distB="0" distL="0" distR="0" wp14:anchorId="7FC458EC" wp14:editId="2A946047">
            <wp:extent cx="5461984" cy="2988749"/>
            <wp:effectExtent l="0" t="0" r="5715"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cfig3.png"/>
                    <pic:cNvPicPr/>
                  </pic:nvPicPr>
                  <pic:blipFill>
                    <a:blip r:embed="rId26">
                      <a:extLst>
                        <a:ext uri="{28A0092B-C50C-407E-A947-70E740481C1C}">
                          <a14:useLocalDpi xmlns:a14="http://schemas.microsoft.com/office/drawing/2010/main" val="0"/>
                        </a:ext>
                      </a:extLst>
                    </a:blip>
                    <a:stretch>
                      <a:fillRect/>
                    </a:stretch>
                  </pic:blipFill>
                  <pic:spPr>
                    <a:xfrm>
                      <a:off x="0" y="0"/>
                      <a:ext cx="5461984" cy="2988749"/>
                    </a:xfrm>
                    <a:prstGeom prst="rect">
                      <a:avLst/>
                    </a:prstGeom>
                  </pic:spPr>
                </pic:pic>
              </a:graphicData>
            </a:graphic>
          </wp:inline>
        </w:drawing>
      </w:r>
      <w:r w:rsidRPr="00EA5E1F">
        <w:rPr>
          <w:noProof/>
        </w:rPr>
        <mc:AlternateContent>
          <mc:Choice Requires="wps">
            <w:drawing>
              <wp:anchor distT="0" distB="0" distL="114300" distR="114300" simplePos="0" relativeHeight="251659264" behindDoc="0" locked="0" layoutInCell="1" allowOverlap="1" wp14:anchorId="193E5817" wp14:editId="07C62B19">
                <wp:simplePos x="0" y="0"/>
                <wp:positionH relativeFrom="column">
                  <wp:posOffset>266700</wp:posOffset>
                </wp:positionH>
                <wp:positionV relativeFrom="paragraph">
                  <wp:posOffset>-6169660</wp:posOffset>
                </wp:positionV>
                <wp:extent cx="0" cy="457200"/>
                <wp:effectExtent l="95250" t="0" r="57150" b="57150"/>
                <wp:wrapNone/>
                <wp:docPr id="13" name="Straight Arrow Connector 12"/>
                <wp:cNvGraphicFramePr/>
                <a:graphic xmlns:a="http://schemas.openxmlformats.org/drawingml/2006/main">
                  <a:graphicData uri="http://schemas.microsoft.com/office/word/2010/wordprocessingShape">
                    <wps:wsp>
                      <wps:cNvCnPr/>
                      <wps:spPr>
                        <a:xfrm>
                          <a:off x="0" y="0"/>
                          <a:ext cx="0" cy="457200"/>
                        </a:xfrm>
                        <a:prstGeom prst="straightConnector1">
                          <a:avLst/>
                        </a:prstGeom>
                        <a:ln w="19050">
                          <a:solidFill>
                            <a:schemeClr val="accent1">
                              <a:lumMod val="40000"/>
                              <a:lumOff val="60000"/>
                            </a:schemeClr>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036D94B" id="_x0000_t32" coordsize="21600,21600" o:spt="32" o:oned="t" path="m,l21600,21600e" filled="f">
                <v:path arrowok="t" fillok="f" o:connecttype="none"/>
                <o:lock v:ext="edit" shapetype="t"/>
              </v:shapetype>
              <v:shape id="Straight Arrow Connector 12" o:spid="_x0000_s1026" type="#_x0000_t32" style="position:absolute;margin-left:21pt;margin-top:-485.8pt;width:0;height:36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faDCAIAAHoEAAAOAAAAZHJzL2Uyb0RvYy54bWysVMFy2yAQvXem/8DoXkt2k7T1WM50nKaX&#10;tvE06QcQBBYzwDILsey/7wKyUjenZqoDEgtv973HotX1wRq2lxg0uLaaz5qKSSeg027XVr8ebt99&#10;rFiI3HXcgJNtdZShul6/fbMa/FIuoAfTSWSUxIXl4Nuqj9Ev6zqIXloeZuClo0UFaHmkKe7qDvlA&#10;2a2pF01zVQ+AnUcQMgSK3pTFap3zKyVFvFMqyMhMWxG3mEfM42Ma6/WKL3fIfa/FSIO/goXl2lHR&#10;KdUNj5w9oX6RymqBEEDFmQBbg1JayKyB1Mybv9Tc99zLrIXMCX6yKfy/tOLHfotMd3R27yvmuKUz&#10;uo/I9a6P7DMiDGwDzpGPgGy+SH4NPiwJtnFbHGfBbzGJPyi06U2y2CF7fJw8lofIRAkKil5cfqDj&#10;S+nqZ5zHEL9KsCx9tFUYeUwE5tlivv8WYgGeAKmocWwgFZ+ayyZvC2B0d6uNSYu5n+TGINtz6gQu&#10;hHSxpDNP9jt0JX7R0FN6gsLUOSV8dQoT1ylTZn5WJHJtvriOxaMnF3kybxRoHO1OvhWn8lc8Gll4&#10;/5SKToC8KYSmCudci2LjaHeCKVI2AUfF6dK8FFmA4/4Elfle/At4QuTK4OIEttoBFr/Pq8fDfBSv&#10;yv6TA0V3suARumPuoWwNNXi2dLyM6Qb9Oc/w51/G+jcAAAD//wMAUEsDBBQABgAIAAAAIQB33qta&#10;4QAAAAsBAAAPAAAAZHJzL2Rvd25yZXYueG1sTI9BS8NAEIXvgv9hGcFbu2kqMUmzKSIIHgSxVdrj&#10;JjtNgtnZmN228d879qLHefN473vFerK9OOHoO0cKFvMIBFLtTEeNgvft0ywF4YMmo3tHqOAbPazL&#10;66tC58ad6Q1Pm9AIDiGfawVtCEMupa9btNrP3YDEv4MbrQ58jo00oz5zuO1lHEWJtLojbmj1gI8t&#10;1p+bo+WS5mX3sVtG1TLeHob69XmfVl9Oqdub6WEFIuAU/szwi8/oUDJT5Y5kvOgV3MU8JSiYZfeL&#10;BAQ7LkrFSpplCciykP83lD8AAAD//wMAUEsBAi0AFAAGAAgAAAAhALaDOJL+AAAA4QEAABMAAAAA&#10;AAAAAAAAAAAAAAAAAFtDb250ZW50X1R5cGVzXS54bWxQSwECLQAUAAYACAAAACEAOP0h/9YAAACU&#10;AQAACwAAAAAAAAAAAAAAAAAvAQAAX3JlbHMvLnJlbHNQSwECLQAUAAYACAAAACEA12X2gwgCAAB6&#10;BAAADgAAAAAAAAAAAAAAAAAuAgAAZHJzL2Uyb0RvYy54bWxQSwECLQAUAAYACAAAACEAd96rWuEA&#10;AAALAQAADwAAAAAAAAAAAAAAAABiBAAAZHJzL2Rvd25yZXYueG1sUEsFBgAAAAAEAAQA8wAAAHAF&#10;AAAAAA==&#10;" strokecolor="#b8cce4 [1300]" strokeweight="1.5pt">
                <v:stroke endarrow="open"/>
              </v:shape>
            </w:pict>
          </mc:Fallback>
        </mc:AlternateContent>
      </w:r>
      <w:r w:rsidRPr="00EA5E1F">
        <w:rPr>
          <w:noProof/>
        </w:rPr>
        <mc:AlternateContent>
          <mc:Choice Requires="wps">
            <w:drawing>
              <wp:anchor distT="0" distB="0" distL="114300" distR="114300" simplePos="0" relativeHeight="251660288" behindDoc="0" locked="0" layoutInCell="1" allowOverlap="1" wp14:anchorId="58700F29" wp14:editId="5E0270C2">
                <wp:simplePos x="0" y="0"/>
                <wp:positionH relativeFrom="column">
                  <wp:posOffset>-214630</wp:posOffset>
                </wp:positionH>
                <wp:positionV relativeFrom="paragraph">
                  <wp:posOffset>-6629400</wp:posOffset>
                </wp:positionV>
                <wp:extent cx="1092200" cy="308610"/>
                <wp:effectExtent l="0" t="0" r="0" b="0"/>
                <wp:wrapNone/>
                <wp:docPr id="20" name="TextBox 19"/>
                <wp:cNvGraphicFramePr/>
                <a:graphic xmlns:a="http://schemas.openxmlformats.org/drawingml/2006/main">
                  <a:graphicData uri="http://schemas.microsoft.com/office/word/2010/wordprocessingShape">
                    <wps:wsp>
                      <wps:cNvSpPr txBox="1"/>
                      <wps:spPr>
                        <a:xfrm>
                          <a:off x="0" y="0"/>
                          <a:ext cx="1092200" cy="308610"/>
                        </a:xfrm>
                        <a:prstGeom prst="rect">
                          <a:avLst/>
                        </a:prstGeom>
                        <a:noFill/>
                      </wps:spPr>
                      <wps:txbx>
                        <w:txbxContent>
                          <w:p w14:paraId="25D8C6E3" w14:textId="77777777" w:rsidR="00AB4B64" w:rsidRDefault="00AB4B64" w:rsidP="00AB4B64">
                            <w:pPr>
                              <w:pStyle w:val="NormalWeb"/>
                              <w:spacing w:before="0" w:beforeAutospacing="0" w:after="0" w:afterAutospacing="0"/>
                            </w:pPr>
                            <w:r>
                              <w:rPr>
                                <w:rFonts w:asciiTheme="minorHAnsi" w:hAnsi="Calibri" w:cstheme="minorBidi"/>
                                <w:color w:val="000000" w:themeColor="text1"/>
                                <w:kern w:val="24"/>
                                <w:sz w:val="28"/>
                                <w:szCs w:val="28"/>
                              </w:rPr>
                              <w:t>Protein filter</w:t>
                            </w:r>
                          </w:p>
                        </w:txbxContent>
                      </wps:txbx>
                      <wps:bodyPr wrap="none" rtlCol="0">
                        <a:spAutoFit/>
                      </wps:bodyPr>
                    </wps:wsp>
                  </a:graphicData>
                </a:graphic>
              </wp:anchor>
            </w:drawing>
          </mc:Choice>
          <mc:Fallback>
            <w:pict>
              <v:shapetype w14:anchorId="58700F29" id="_x0000_t202" coordsize="21600,21600" o:spt="202" path="m,l,21600r21600,l21600,xe">
                <v:stroke joinstyle="miter"/>
                <v:path gradientshapeok="t" o:connecttype="rect"/>
              </v:shapetype>
              <v:shape id="TextBox 19" o:spid="_x0000_s1026" type="#_x0000_t202" style="position:absolute;margin-left:-16.9pt;margin-top:-522pt;width:86pt;height:24.3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avlkAEAAA0DAAAOAAAAZHJzL2Uyb0RvYy54bWysUttOAyEQfTfxHwjvdrc1adpNt8ZL6otR&#10;E/UDKAtdkoUhDO1u/96BXjT6ZnwZYC6HM2dmcTPYju1UQAOu5uNRyZlyEhrjNjX/eF9dzTjDKFwj&#10;OnCq5nuF/GZ5ebHofaUm0ELXqMAIxGHV+5q3MfqqKFC2ygocgVeOghqCFZGeYVM0QfSEbrtiUpbT&#10;oofQ+ABSIZL34RDky4yvtZLxRWtUkXU1J24x25DtOtliuRDVJgjfGnmkIf7Awgrj6NMz1IOIgm2D&#10;+QVljQyAoONIgi1AayNV7oG6GZc/unlrhVe5FxIH/Vkm/D9Y+bx7Dcw0NZ+QPE5YmtG7GuIdDGw8&#10;T/L0HivKevOUFwfy05hPfiRn6nrQwaaT+mEUJ6T9WVwCYzIVlfMJTYwzSbHrcjYdZ/WLr2ofMD4q&#10;sCxdah5oeFlTsXvCSEwo9ZSSPnOwMl2X/InigUq6xWE9HHmvodkT7Z7mW3NHC8hZiN095GVIGOhv&#10;t5FwMnwqPlQcMUnz/OtxP9JQv79z1tcWLz8BAAD//wMAUEsDBBQABgAIAAAAIQDGvWXa4AAAAA4B&#10;AAAPAAAAZHJzL2Rvd25yZXYueG1sTI/NTsMwEITvSLyDtUjcWjs/RUmIU6ECZ6DwAG5s4pB4HcVu&#10;G3h6tie47e6MZr+pt4sb2cnMofcoIVkLYAZbr3vsJHy8P68KYCEq1Gr0aCR8mwDb5vqqVpX2Z3wz&#10;p33sGIVgqJQEG+NUcR5aa5wKaz8ZJO3Tz05FWueO61mdKdyNPBXijjvVI32wajI7a9phf3QSCuFe&#10;hqFMX4PLf5KN3T36p+lLytub5eEeWDRL/DPDBZ/QoSGmgz+iDmyUsMoyQo80JCLPqdbFkxUpsAPd&#10;ynKTA29q/r9G8wsAAP//AwBQSwECLQAUAAYACAAAACEAtoM4kv4AAADhAQAAEwAAAAAAAAAAAAAA&#10;AAAAAAAAW0NvbnRlbnRfVHlwZXNdLnhtbFBLAQItABQABgAIAAAAIQA4/SH/1gAAAJQBAAALAAAA&#10;AAAAAAAAAAAAAC8BAABfcmVscy8ucmVsc1BLAQItABQABgAIAAAAIQDKHavlkAEAAA0DAAAOAAAA&#10;AAAAAAAAAAAAAC4CAABkcnMvZTJvRG9jLnhtbFBLAQItABQABgAIAAAAIQDGvWXa4AAAAA4BAAAP&#10;AAAAAAAAAAAAAAAAAOoDAABkcnMvZG93bnJldi54bWxQSwUGAAAAAAQABADzAAAA9wQAAAAA&#10;" filled="f" stroked="f">
                <v:textbox style="mso-fit-shape-to-text:t">
                  <w:txbxContent>
                    <w:p w14:paraId="25D8C6E3" w14:textId="77777777" w:rsidR="00AB4B64" w:rsidRDefault="00AB4B64" w:rsidP="00AB4B64">
                      <w:pPr>
                        <w:pStyle w:val="NormalWeb"/>
                        <w:spacing w:before="0" w:beforeAutospacing="0" w:after="0" w:afterAutospacing="0"/>
                      </w:pPr>
                      <w:r>
                        <w:rPr>
                          <w:rFonts w:asciiTheme="minorHAnsi" w:hAnsi="Calibri" w:cstheme="minorBidi"/>
                          <w:color w:val="000000" w:themeColor="text1"/>
                          <w:kern w:val="24"/>
                          <w:sz w:val="28"/>
                          <w:szCs w:val="28"/>
                        </w:rPr>
                        <w:t>Protein filter</w:t>
                      </w:r>
                    </w:p>
                  </w:txbxContent>
                </v:textbox>
              </v:shape>
            </w:pict>
          </mc:Fallback>
        </mc:AlternateContent>
      </w:r>
    </w:p>
    <w:p w14:paraId="6AF623B2" w14:textId="77777777" w:rsidR="00AB4B64" w:rsidRPr="00221DFF" w:rsidRDefault="00AB4B64" w:rsidP="00AB4B64">
      <w:pPr>
        <w:pStyle w:val="Figurenumberandcaption"/>
      </w:pPr>
      <w:r>
        <w:t>Figure 3. Dataflow for prokaryotic and eukaryotic genomes</w:t>
      </w:r>
    </w:p>
    <w:p w14:paraId="3B0CB545" w14:textId="77777777" w:rsidR="00AB4B64" w:rsidRDefault="00AB4B64" w:rsidP="008D56D5"/>
    <w:p w14:paraId="71B63EBA" w14:textId="77777777" w:rsidR="00AB4B64" w:rsidRDefault="00AB4B64" w:rsidP="008D56D5"/>
    <w:p w14:paraId="77914E9E" w14:textId="77777777" w:rsidR="00AB4B64" w:rsidRDefault="00AB4B64" w:rsidP="008D56D5"/>
    <w:p w14:paraId="1C81F6B7" w14:textId="77777777" w:rsidR="00AB4B64" w:rsidRPr="008D56D5" w:rsidRDefault="00AB4B64" w:rsidP="008D56D5"/>
    <w:p w14:paraId="177BADB2" w14:textId="77777777" w:rsidR="00C86585" w:rsidRPr="008D56D5" w:rsidRDefault="00C86585" w:rsidP="008D56D5"/>
    <w:sectPr w:rsidR="00C86585" w:rsidRPr="008D56D5" w:rsidSect="00AD2F0B">
      <w:type w:val="continuous"/>
      <w:pgSz w:w="12240" w:h="15840" w:code="1"/>
      <w:pgMar w:top="1080" w:right="1080" w:bottom="1080" w:left="1080" w:header="0" w:footer="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38257C" w14:textId="77777777" w:rsidR="005651EC" w:rsidRDefault="005651EC">
      <w:r>
        <w:separator/>
      </w:r>
    </w:p>
  </w:endnote>
  <w:endnote w:type="continuationSeparator" w:id="0">
    <w:p w14:paraId="65873FC9" w14:textId="77777777" w:rsidR="005651EC" w:rsidRDefault="00565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CA1FEE" w14:textId="77777777" w:rsidR="005651EC" w:rsidRDefault="005651EC">
      <w:r>
        <w:separator/>
      </w:r>
    </w:p>
  </w:footnote>
  <w:footnote w:type="continuationSeparator" w:id="0">
    <w:p w14:paraId="4719E6D9" w14:textId="77777777" w:rsidR="005651EC" w:rsidRDefault="005651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C481E0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018D40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E9A9E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D22BDD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AE859D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82238D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C24A86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DF28C0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B188C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081B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D05293"/>
    <w:multiLevelType w:val="multilevel"/>
    <w:tmpl w:val="4176C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4F2947"/>
    <w:multiLevelType w:val="multilevel"/>
    <w:tmpl w:val="65563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C93017"/>
    <w:multiLevelType w:val="hybridMultilevel"/>
    <w:tmpl w:val="0F0A663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872768"/>
    <w:multiLevelType w:val="multilevel"/>
    <w:tmpl w:val="D2F20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581ACD"/>
    <w:multiLevelType w:val="hybridMultilevel"/>
    <w:tmpl w:val="93AA5CC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CA0BEE"/>
    <w:multiLevelType w:val="multilevel"/>
    <w:tmpl w:val="94483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757F1A"/>
    <w:multiLevelType w:val="multilevel"/>
    <w:tmpl w:val="AEF46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97180A"/>
    <w:multiLevelType w:val="hybridMultilevel"/>
    <w:tmpl w:val="2DBCD3DA"/>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8D14E1"/>
    <w:multiLevelType w:val="hybridMultilevel"/>
    <w:tmpl w:val="6BDE88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19A6AFD"/>
    <w:multiLevelType w:val="multilevel"/>
    <w:tmpl w:val="7220D9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1F5C0C"/>
    <w:multiLevelType w:val="hybridMultilevel"/>
    <w:tmpl w:val="0DA27F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5E61C6"/>
    <w:multiLevelType w:val="hybridMultilevel"/>
    <w:tmpl w:val="E8603A8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1CE1B36"/>
    <w:multiLevelType w:val="hybridMultilevel"/>
    <w:tmpl w:val="AD565FA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6C4212"/>
    <w:multiLevelType w:val="multilevel"/>
    <w:tmpl w:val="BE88F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5C0691"/>
    <w:multiLevelType w:val="multilevel"/>
    <w:tmpl w:val="48B22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177123"/>
    <w:multiLevelType w:val="multilevel"/>
    <w:tmpl w:val="56BE2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E8455A"/>
    <w:multiLevelType w:val="hybridMultilevel"/>
    <w:tmpl w:val="CBB206E8"/>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64E00D6"/>
    <w:multiLevelType w:val="hybridMultilevel"/>
    <w:tmpl w:val="4A80921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8A55B36"/>
    <w:multiLevelType w:val="hybridMultilevel"/>
    <w:tmpl w:val="083C36E8"/>
    <w:lvl w:ilvl="0" w:tplc="183E400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0A4ED3"/>
    <w:multiLevelType w:val="hybridMultilevel"/>
    <w:tmpl w:val="5A7849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1"/>
  </w:num>
  <w:num w:numId="12">
    <w:abstractNumId w:val="26"/>
  </w:num>
  <w:num w:numId="13">
    <w:abstractNumId w:val="14"/>
  </w:num>
  <w:num w:numId="14">
    <w:abstractNumId w:val="12"/>
  </w:num>
  <w:num w:numId="15">
    <w:abstractNumId w:val="22"/>
  </w:num>
  <w:num w:numId="16">
    <w:abstractNumId w:val="13"/>
  </w:num>
  <w:num w:numId="17">
    <w:abstractNumId w:val="19"/>
  </w:num>
  <w:num w:numId="18">
    <w:abstractNumId w:val="15"/>
  </w:num>
  <w:num w:numId="19">
    <w:abstractNumId w:val="24"/>
  </w:num>
  <w:num w:numId="20">
    <w:abstractNumId w:val="11"/>
  </w:num>
  <w:num w:numId="21">
    <w:abstractNumId w:val="16"/>
  </w:num>
  <w:num w:numId="22">
    <w:abstractNumId w:val="10"/>
  </w:num>
  <w:num w:numId="23">
    <w:abstractNumId w:val="25"/>
  </w:num>
  <w:num w:numId="24">
    <w:abstractNumId w:val="23"/>
  </w:num>
  <w:num w:numId="25">
    <w:abstractNumId w:val="17"/>
  </w:num>
  <w:num w:numId="26">
    <w:abstractNumId w:val="27"/>
  </w:num>
  <w:num w:numId="27">
    <w:abstractNumId w:val="20"/>
  </w:num>
  <w:num w:numId="28">
    <w:abstractNumId w:val="29"/>
  </w:num>
  <w:num w:numId="29">
    <w:abstractNumId w:val="28"/>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1"/>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LM&lt;/Style&gt;&lt;LeftDelim&gt;{&lt;/LeftDelim&gt;&lt;RightDelim&gt;}&lt;/RightDelim&gt;&lt;FontName&gt;Arial&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s>
  <w:rsids>
    <w:rsidRoot w:val="00DB7C16"/>
    <w:rsid w:val="00000166"/>
    <w:rsid w:val="000018DF"/>
    <w:rsid w:val="000046FE"/>
    <w:rsid w:val="00004C63"/>
    <w:rsid w:val="00007EAE"/>
    <w:rsid w:val="00011737"/>
    <w:rsid w:val="0001332E"/>
    <w:rsid w:val="00014C1C"/>
    <w:rsid w:val="0001689F"/>
    <w:rsid w:val="0002369E"/>
    <w:rsid w:val="00026E82"/>
    <w:rsid w:val="00033DC7"/>
    <w:rsid w:val="000342DC"/>
    <w:rsid w:val="00037055"/>
    <w:rsid w:val="000374DD"/>
    <w:rsid w:val="000435ED"/>
    <w:rsid w:val="00046AFC"/>
    <w:rsid w:val="00047F73"/>
    <w:rsid w:val="00047F7C"/>
    <w:rsid w:val="00050066"/>
    <w:rsid w:val="0005166C"/>
    <w:rsid w:val="000550D2"/>
    <w:rsid w:val="0006115C"/>
    <w:rsid w:val="00061C36"/>
    <w:rsid w:val="00065BCA"/>
    <w:rsid w:val="000772FE"/>
    <w:rsid w:val="0008582D"/>
    <w:rsid w:val="00097CF8"/>
    <w:rsid w:val="000A2208"/>
    <w:rsid w:val="000A355F"/>
    <w:rsid w:val="000A5DBD"/>
    <w:rsid w:val="000B2A29"/>
    <w:rsid w:val="000B2D36"/>
    <w:rsid w:val="000B452F"/>
    <w:rsid w:val="000B6A12"/>
    <w:rsid w:val="000C1C20"/>
    <w:rsid w:val="000D1DD0"/>
    <w:rsid w:val="000D2E1E"/>
    <w:rsid w:val="000D7531"/>
    <w:rsid w:val="000E075D"/>
    <w:rsid w:val="000E0A7B"/>
    <w:rsid w:val="000E0B2E"/>
    <w:rsid w:val="000E18D4"/>
    <w:rsid w:val="000E437A"/>
    <w:rsid w:val="000E6B34"/>
    <w:rsid w:val="000F112B"/>
    <w:rsid w:val="000F34E4"/>
    <w:rsid w:val="000F7A16"/>
    <w:rsid w:val="0010175E"/>
    <w:rsid w:val="00102C09"/>
    <w:rsid w:val="00103EF3"/>
    <w:rsid w:val="0010482C"/>
    <w:rsid w:val="001073CA"/>
    <w:rsid w:val="0011148E"/>
    <w:rsid w:val="00113005"/>
    <w:rsid w:val="001244FF"/>
    <w:rsid w:val="00125BD8"/>
    <w:rsid w:val="00127768"/>
    <w:rsid w:val="00132D06"/>
    <w:rsid w:val="001339BA"/>
    <w:rsid w:val="001358B2"/>
    <w:rsid w:val="0013590D"/>
    <w:rsid w:val="00140A45"/>
    <w:rsid w:val="00142230"/>
    <w:rsid w:val="0014280F"/>
    <w:rsid w:val="0014638B"/>
    <w:rsid w:val="00155F70"/>
    <w:rsid w:val="0015615D"/>
    <w:rsid w:val="00161D53"/>
    <w:rsid w:val="001629A0"/>
    <w:rsid w:val="001633FA"/>
    <w:rsid w:val="00164C54"/>
    <w:rsid w:val="00171607"/>
    <w:rsid w:val="0017359F"/>
    <w:rsid w:val="00176474"/>
    <w:rsid w:val="001777F6"/>
    <w:rsid w:val="001821BF"/>
    <w:rsid w:val="00183413"/>
    <w:rsid w:val="00185AB6"/>
    <w:rsid w:val="00187468"/>
    <w:rsid w:val="001932B3"/>
    <w:rsid w:val="00194708"/>
    <w:rsid w:val="00194909"/>
    <w:rsid w:val="00197359"/>
    <w:rsid w:val="001A1FFD"/>
    <w:rsid w:val="001A4788"/>
    <w:rsid w:val="001B5389"/>
    <w:rsid w:val="001B6F19"/>
    <w:rsid w:val="001C2ED9"/>
    <w:rsid w:val="001C6FE7"/>
    <w:rsid w:val="001D0AF0"/>
    <w:rsid w:val="001D148B"/>
    <w:rsid w:val="001E428B"/>
    <w:rsid w:val="001E4DDE"/>
    <w:rsid w:val="001E7227"/>
    <w:rsid w:val="001F15BD"/>
    <w:rsid w:val="001F57D9"/>
    <w:rsid w:val="00203D7C"/>
    <w:rsid w:val="00204734"/>
    <w:rsid w:val="00206076"/>
    <w:rsid w:val="00207804"/>
    <w:rsid w:val="00210879"/>
    <w:rsid w:val="00211F02"/>
    <w:rsid w:val="00212CAD"/>
    <w:rsid w:val="00213A3C"/>
    <w:rsid w:val="00221DFF"/>
    <w:rsid w:val="00225AF5"/>
    <w:rsid w:val="0023615D"/>
    <w:rsid w:val="00236786"/>
    <w:rsid w:val="00237B2B"/>
    <w:rsid w:val="002404CD"/>
    <w:rsid w:val="00243696"/>
    <w:rsid w:val="002442CD"/>
    <w:rsid w:val="00245A71"/>
    <w:rsid w:val="00246C70"/>
    <w:rsid w:val="00247376"/>
    <w:rsid w:val="00254C0C"/>
    <w:rsid w:val="0025541C"/>
    <w:rsid w:val="00256208"/>
    <w:rsid w:val="002611DA"/>
    <w:rsid w:val="002633DD"/>
    <w:rsid w:val="00263F30"/>
    <w:rsid w:val="002646A7"/>
    <w:rsid w:val="00265448"/>
    <w:rsid w:val="00267B90"/>
    <w:rsid w:val="00271899"/>
    <w:rsid w:val="002824D9"/>
    <w:rsid w:val="00285264"/>
    <w:rsid w:val="0028640E"/>
    <w:rsid w:val="00290239"/>
    <w:rsid w:val="00293C5E"/>
    <w:rsid w:val="002A04DC"/>
    <w:rsid w:val="002A2545"/>
    <w:rsid w:val="002A37AE"/>
    <w:rsid w:val="002A567B"/>
    <w:rsid w:val="002A7F50"/>
    <w:rsid w:val="002B58A2"/>
    <w:rsid w:val="002C1E00"/>
    <w:rsid w:val="002C552D"/>
    <w:rsid w:val="002D0673"/>
    <w:rsid w:val="002D1AFC"/>
    <w:rsid w:val="002D24B0"/>
    <w:rsid w:val="002D39BE"/>
    <w:rsid w:val="002E12EB"/>
    <w:rsid w:val="002E1C35"/>
    <w:rsid w:val="002E3043"/>
    <w:rsid w:val="002E37D0"/>
    <w:rsid w:val="002E3F36"/>
    <w:rsid w:val="002E50CA"/>
    <w:rsid w:val="002E545F"/>
    <w:rsid w:val="002F1934"/>
    <w:rsid w:val="002F2730"/>
    <w:rsid w:val="002F3AF2"/>
    <w:rsid w:val="002F5572"/>
    <w:rsid w:val="003012B3"/>
    <w:rsid w:val="00302C98"/>
    <w:rsid w:val="0030586B"/>
    <w:rsid w:val="00305C08"/>
    <w:rsid w:val="00306EA8"/>
    <w:rsid w:val="00312720"/>
    <w:rsid w:val="00314CBD"/>
    <w:rsid w:val="003155E8"/>
    <w:rsid w:val="00316692"/>
    <w:rsid w:val="0032206E"/>
    <w:rsid w:val="00332ADE"/>
    <w:rsid w:val="00334B48"/>
    <w:rsid w:val="00336417"/>
    <w:rsid w:val="0034279B"/>
    <w:rsid w:val="003456ED"/>
    <w:rsid w:val="00350814"/>
    <w:rsid w:val="0035432E"/>
    <w:rsid w:val="0036036B"/>
    <w:rsid w:val="00360D72"/>
    <w:rsid w:val="00364AF8"/>
    <w:rsid w:val="00364CDD"/>
    <w:rsid w:val="00366C16"/>
    <w:rsid w:val="003725F7"/>
    <w:rsid w:val="0037521F"/>
    <w:rsid w:val="00377395"/>
    <w:rsid w:val="00377F9D"/>
    <w:rsid w:val="00381213"/>
    <w:rsid w:val="003846CC"/>
    <w:rsid w:val="003859A3"/>
    <w:rsid w:val="00396A60"/>
    <w:rsid w:val="00397291"/>
    <w:rsid w:val="003A5039"/>
    <w:rsid w:val="003A63EB"/>
    <w:rsid w:val="003A64E4"/>
    <w:rsid w:val="003B4333"/>
    <w:rsid w:val="003B4CA5"/>
    <w:rsid w:val="003C0175"/>
    <w:rsid w:val="003C5427"/>
    <w:rsid w:val="003C74C8"/>
    <w:rsid w:val="003C75D3"/>
    <w:rsid w:val="003D471C"/>
    <w:rsid w:val="003D567C"/>
    <w:rsid w:val="003E2CF2"/>
    <w:rsid w:val="003E7248"/>
    <w:rsid w:val="003F09EC"/>
    <w:rsid w:val="003F1951"/>
    <w:rsid w:val="003F2F66"/>
    <w:rsid w:val="004010DA"/>
    <w:rsid w:val="004055B7"/>
    <w:rsid w:val="00406E77"/>
    <w:rsid w:val="00410C8D"/>
    <w:rsid w:val="0041142E"/>
    <w:rsid w:val="00411DF5"/>
    <w:rsid w:val="0041475F"/>
    <w:rsid w:val="00416795"/>
    <w:rsid w:val="0042027A"/>
    <w:rsid w:val="00422395"/>
    <w:rsid w:val="0043115B"/>
    <w:rsid w:val="00431E07"/>
    <w:rsid w:val="00432930"/>
    <w:rsid w:val="004352DA"/>
    <w:rsid w:val="00436065"/>
    <w:rsid w:val="004404CF"/>
    <w:rsid w:val="004442B4"/>
    <w:rsid w:val="004471E6"/>
    <w:rsid w:val="00447237"/>
    <w:rsid w:val="00451BF9"/>
    <w:rsid w:val="00452B44"/>
    <w:rsid w:val="00456CDC"/>
    <w:rsid w:val="0045724A"/>
    <w:rsid w:val="0046789A"/>
    <w:rsid w:val="0047081D"/>
    <w:rsid w:val="0047356B"/>
    <w:rsid w:val="00473B06"/>
    <w:rsid w:val="00477171"/>
    <w:rsid w:val="00477F8B"/>
    <w:rsid w:val="00481D83"/>
    <w:rsid w:val="0048544F"/>
    <w:rsid w:val="00486B56"/>
    <w:rsid w:val="00487F08"/>
    <w:rsid w:val="004976F8"/>
    <w:rsid w:val="004A333B"/>
    <w:rsid w:val="004A411D"/>
    <w:rsid w:val="004C0B3A"/>
    <w:rsid w:val="004C339B"/>
    <w:rsid w:val="004C3C3B"/>
    <w:rsid w:val="004C578F"/>
    <w:rsid w:val="004C6F69"/>
    <w:rsid w:val="004D0175"/>
    <w:rsid w:val="004D4BDE"/>
    <w:rsid w:val="004D5442"/>
    <w:rsid w:val="004D7185"/>
    <w:rsid w:val="004E0F8B"/>
    <w:rsid w:val="004E1A50"/>
    <w:rsid w:val="004E62EA"/>
    <w:rsid w:val="004F2231"/>
    <w:rsid w:val="004F3528"/>
    <w:rsid w:val="004F39FD"/>
    <w:rsid w:val="004F501A"/>
    <w:rsid w:val="00503281"/>
    <w:rsid w:val="0050505E"/>
    <w:rsid w:val="00505FAD"/>
    <w:rsid w:val="005075F9"/>
    <w:rsid w:val="00507A45"/>
    <w:rsid w:val="00511822"/>
    <w:rsid w:val="00512235"/>
    <w:rsid w:val="00512770"/>
    <w:rsid w:val="005138DE"/>
    <w:rsid w:val="0051661F"/>
    <w:rsid w:val="005262EA"/>
    <w:rsid w:val="00527CAA"/>
    <w:rsid w:val="005364A9"/>
    <w:rsid w:val="00540E59"/>
    <w:rsid w:val="00542863"/>
    <w:rsid w:val="005502DC"/>
    <w:rsid w:val="00552829"/>
    <w:rsid w:val="00553A15"/>
    <w:rsid w:val="00560047"/>
    <w:rsid w:val="00560FB1"/>
    <w:rsid w:val="005651EC"/>
    <w:rsid w:val="005663AE"/>
    <w:rsid w:val="00580CAB"/>
    <w:rsid w:val="005835D5"/>
    <w:rsid w:val="00585614"/>
    <w:rsid w:val="005863AF"/>
    <w:rsid w:val="00590420"/>
    <w:rsid w:val="00591FF4"/>
    <w:rsid w:val="00592AB3"/>
    <w:rsid w:val="005946F3"/>
    <w:rsid w:val="0059487D"/>
    <w:rsid w:val="00597DD2"/>
    <w:rsid w:val="005A1D06"/>
    <w:rsid w:val="005A3971"/>
    <w:rsid w:val="005A3FEF"/>
    <w:rsid w:val="005A745E"/>
    <w:rsid w:val="005B2DE7"/>
    <w:rsid w:val="005B4BA1"/>
    <w:rsid w:val="005B56CF"/>
    <w:rsid w:val="005B5C90"/>
    <w:rsid w:val="005B7564"/>
    <w:rsid w:val="005B7A1D"/>
    <w:rsid w:val="005C0CD5"/>
    <w:rsid w:val="005C1A7A"/>
    <w:rsid w:val="005D0080"/>
    <w:rsid w:val="005E7519"/>
    <w:rsid w:val="005F0EC8"/>
    <w:rsid w:val="005F2F35"/>
    <w:rsid w:val="006010F0"/>
    <w:rsid w:val="00604544"/>
    <w:rsid w:val="00606A4B"/>
    <w:rsid w:val="0060725D"/>
    <w:rsid w:val="0061029F"/>
    <w:rsid w:val="0061269C"/>
    <w:rsid w:val="0061368F"/>
    <w:rsid w:val="00620290"/>
    <w:rsid w:val="0062726D"/>
    <w:rsid w:val="006273F6"/>
    <w:rsid w:val="006357E4"/>
    <w:rsid w:val="00643252"/>
    <w:rsid w:val="00644FF3"/>
    <w:rsid w:val="006458D0"/>
    <w:rsid w:val="00645F39"/>
    <w:rsid w:val="00646374"/>
    <w:rsid w:val="00650D15"/>
    <w:rsid w:val="00652354"/>
    <w:rsid w:val="00660F88"/>
    <w:rsid w:val="006611D4"/>
    <w:rsid w:val="00665EFC"/>
    <w:rsid w:val="0066649C"/>
    <w:rsid w:val="00672734"/>
    <w:rsid w:val="00673B58"/>
    <w:rsid w:val="00675095"/>
    <w:rsid w:val="0067578D"/>
    <w:rsid w:val="00676EF2"/>
    <w:rsid w:val="0068002B"/>
    <w:rsid w:val="0068058F"/>
    <w:rsid w:val="00684A59"/>
    <w:rsid w:val="006966A0"/>
    <w:rsid w:val="00697435"/>
    <w:rsid w:val="00697EB0"/>
    <w:rsid w:val="006A23C3"/>
    <w:rsid w:val="006A2624"/>
    <w:rsid w:val="006A33CD"/>
    <w:rsid w:val="006A6A99"/>
    <w:rsid w:val="006A76E5"/>
    <w:rsid w:val="006B58B2"/>
    <w:rsid w:val="006B5CD1"/>
    <w:rsid w:val="006C4BB1"/>
    <w:rsid w:val="006C6D39"/>
    <w:rsid w:val="006C7A1C"/>
    <w:rsid w:val="006E064F"/>
    <w:rsid w:val="006E5D1F"/>
    <w:rsid w:val="006E5E89"/>
    <w:rsid w:val="006F2D62"/>
    <w:rsid w:val="006F4A67"/>
    <w:rsid w:val="006F4BC0"/>
    <w:rsid w:val="006F5017"/>
    <w:rsid w:val="006F7A13"/>
    <w:rsid w:val="006F7DD0"/>
    <w:rsid w:val="0070096E"/>
    <w:rsid w:val="00700D74"/>
    <w:rsid w:val="007013AB"/>
    <w:rsid w:val="007032BF"/>
    <w:rsid w:val="00706FBA"/>
    <w:rsid w:val="00707151"/>
    <w:rsid w:val="00714018"/>
    <w:rsid w:val="0071485F"/>
    <w:rsid w:val="00714928"/>
    <w:rsid w:val="007153B2"/>
    <w:rsid w:val="00717DA7"/>
    <w:rsid w:val="00724B51"/>
    <w:rsid w:val="00726387"/>
    <w:rsid w:val="007304B1"/>
    <w:rsid w:val="00732CBE"/>
    <w:rsid w:val="007330A9"/>
    <w:rsid w:val="00734805"/>
    <w:rsid w:val="00742C94"/>
    <w:rsid w:val="00743669"/>
    <w:rsid w:val="007442B1"/>
    <w:rsid w:val="00752E0F"/>
    <w:rsid w:val="0075367C"/>
    <w:rsid w:val="00753AFF"/>
    <w:rsid w:val="00756C68"/>
    <w:rsid w:val="00761CB6"/>
    <w:rsid w:val="00763D82"/>
    <w:rsid w:val="00764D4F"/>
    <w:rsid w:val="00765141"/>
    <w:rsid w:val="007716A8"/>
    <w:rsid w:val="00772D6F"/>
    <w:rsid w:val="00783991"/>
    <w:rsid w:val="00784F40"/>
    <w:rsid w:val="007857F3"/>
    <w:rsid w:val="00791334"/>
    <w:rsid w:val="00791867"/>
    <w:rsid w:val="007937ED"/>
    <w:rsid w:val="00796A92"/>
    <w:rsid w:val="007A0F85"/>
    <w:rsid w:val="007A72E3"/>
    <w:rsid w:val="007B0095"/>
    <w:rsid w:val="007B18F6"/>
    <w:rsid w:val="007B3A25"/>
    <w:rsid w:val="007B706B"/>
    <w:rsid w:val="007C3BA6"/>
    <w:rsid w:val="007D5FC1"/>
    <w:rsid w:val="007D6207"/>
    <w:rsid w:val="007E7D0F"/>
    <w:rsid w:val="007F1DAD"/>
    <w:rsid w:val="007F205C"/>
    <w:rsid w:val="007F39D6"/>
    <w:rsid w:val="007F3A6C"/>
    <w:rsid w:val="007F5020"/>
    <w:rsid w:val="007F7987"/>
    <w:rsid w:val="0080794A"/>
    <w:rsid w:val="00807A49"/>
    <w:rsid w:val="00814E6F"/>
    <w:rsid w:val="00820CCE"/>
    <w:rsid w:val="00823BE1"/>
    <w:rsid w:val="00824E69"/>
    <w:rsid w:val="00833256"/>
    <w:rsid w:val="00837CD9"/>
    <w:rsid w:val="00841925"/>
    <w:rsid w:val="00843166"/>
    <w:rsid w:val="00843BF4"/>
    <w:rsid w:val="00844C12"/>
    <w:rsid w:val="00847686"/>
    <w:rsid w:val="00855F73"/>
    <w:rsid w:val="00863435"/>
    <w:rsid w:val="00863C73"/>
    <w:rsid w:val="008644A1"/>
    <w:rsid w:val="0086712F"/>
    <w:rsid w:val="0086798C"/>
    <w:rsid w:val="008715C9"/>
    <w:rsid w:val="008742BB"/>
    <w:rsid w:val="0087759E"/>
    <w:rsid w:val="0088199F"/>
    <w:rsid w:val="008822C8"/>
    <w:rsid w:val="00887CC2"/>
    <w:rsid w:val="00887FBB"/>
    <w:rsid w:val="008926F8"/>
    <w:rsid w:val="008939A1"/>
    <w:rsid w:val="008971AA"/>
    <w:rsid w:val="00897E24"/>
    <w:rsid w:val="00897F93"/>
    <w:rsid w:val="008A1C8E"/>
    <w:rsid w:val="008A287B"/>
    <w:rsid w:val="008A2EB4"/>
    <w:rsid w:val="008B105A"/>
    <w:rsid w:val="008B10B7"/>
    <w:rsid w:val="008B14D4"/>
    <w:rsid w:val="008B340A"/>
    <w:rsid w:val="008B582E"/>
    <w:rsid w:val="008B7140"/>
    <w:rsid w:val="008B78C8"/>
    <w:rsid w:val="008C27B0"/>
    <w:rsid w:val="008C7781"/>
    <w:rsid w:val="008D0631"/>
    <w:rsid w:val="008D273E"/>
    <w:rsid w:val="008D4CA8"/>
    <w:rsid w:val="008D5228"/>
    <w:rsid w:val="008D56D5"/>
    <w:rsid w:val="008E3F6A"/>
    <w:rsid w:val="008E5B33"/>
    <w:rsid w:val="008E754B"/>
    <w:rsid w:val="008F0B11"/>
    <w:rsid w:val="008F0E1B"/>
    <w:rsid w:val="0090001D"/>
    <w:rsid w:val="0090148C"/>
    <w:rsid w:val="0091038D"/>
    <w:rsid w:val="009137F0"/>
    <w:rsid w:val="009242EA"/>
    <w:rsid w:val="009308B7"/>
    <w:rsid w:val="00931BF6"/>
    <w:rsid w:val="009324EE"/>
    <w:rsid w:val="0093674C"/>
    <w:rsid w:val="00937481"/>
    <w:rsid w:val="00937C59"/>
    <w:rsid w:val="009429F5"/>
    <w:rsid w:val="0094336F"/>
    <w:rsid w:val="00947504"/>
    <w:rsid w:val="00952063"/>
    <w:rsid w:val="00953490"/>
    <w:rsid w:val="00957C79"/>
    <w:rsid w:val="00961D9D"/>
    <w:rsid w:val="0096381C"/>
    <w:rsid w:val="009641DA"/>
    <w:rsid w:val="00965306"/>
    <w:rsid w:val="009660F1"/>
    <w:rsid w:val="009769E7"/>
    <w:rsid w:val="0098055B"/>
    <w:rsid w:val="009821E7"/>
    <w:rsid w:val="00982879"/>
    <w:rsid w:val="00982DD9"/>
    <w:rsid w:val="0098430A"/>
    <w:rsid w:val="00995A58"/>
    <w:rsid w:val="00996A97"/>
    <w:rsid w:val="00997A40"/>
    <w:rsid w:val="00997CA6"/>
    <w:rsid w:val="009A3F36"/>
    <w:rsid w:val="009B0C98"/>
    <w:rsid w:val="009B142C"/>
    <w:rsid w:val="009C1F3F"/>
    <w:rsid w:val="009C2AFF"/>
    <w:rsid w:val="009C2EA6"/>
    <w:rsid w:val="009C6AB1"/>
    <w:rsid w:val="009D3D51"/>
    <w:rsid w:val="009D6E76"/>
    <w:rsid w:val="009E0806"/>
    <w:rsid w:val="009E0B72"/>
    <w:rsid w:val="009E2F27"/>
    <w:rsid w:val="009E7698"/>
    <w:rsid w:val="009E78BB"/>
    <w:rsid w:val="009F4822"/>
    <w:rsid w:val="009F490E"/>
    <w:rsid w:val="009F4AE9"/>
    <w:rsid w:val="009F4CCE"/>
    <w:rsid w:val="009F56D5"/>
    <w:rsid w:val="009F7B7F"/>
    <w:rsid w:val="00A044D9"/>
    <w:rsid w:val="00A05784"/>
    <w:rsid w:val="00A071A0"/>
    <w:rsid w:val="00A0742A"/>
    <w:rsid w:val="00A077B6"/>
    <w:rsid w:val="00A077E1"/>
    <w:rsid w:val="00A11551"/>
    <w:rsid w:val="00A11C82"/>
    <w:rsid w:val="00A149BF"/>
    <w:rsid w:val="00A23437"/>
    <w:rsid w:val="00A2415A"/>
    <w:rsid w:val="00A254F1"/>
    <w:rsid w:val="00A33E62"/>
    <w:rsid w:val="00A34F6D"/>
    <w:rsid w:val="00A379BE"/>
    <w:rsid w:val="00A43E69"/>
    <w:rsid w:val="00A46439"/>
    <w:rsid w:val="00A47ECF"/>
    <w:rsid w:val="00A57387"/>
    <w:rsid w:val="00A60C13"/>
    <w:rsid w:val="00A72AC8"/>
    <w:rsid w:val="00A73139"/>
    <w:rsid w:val="00A80407"/>
    <w:rsid w:val="00A82CCA"/>
    <w:rsid w:val="00A84B4B"/>
    <w:rsid w:val="00A85FB1"/>
    <w:rsid w:val="00A85FD5"/>
    <w:rsid w:val="00AA236B"/>
    <w:rsid w:val="00AA2898"/>
    <w:rsid w:val="00AA2C82"/>
    <w:rsid w:val="00AA58ED"/>
    <w:rsid w:val="00AA7B52"/>
    <w:rsid w:val="00AB119F"/>
    <w:rsid w:val="00AB15DA"/>
    <w:rsid w:val="00AB1F1E"/>
    <w:rsid w:val="00AB4B64"/>
    <w:rsid w:val="00AB4E1C"/>
    <w:rsid w:val="00AC1844"/>
    <w:rsid w:val="00AC3200"/>
    <w:rsid w:val="00AC7368"/>
    <w:rsid w:val="00AD2F0B"/>
    <w:rsid w:val="00AD366F"/>
    <w:rsid w:val="00AD3B43"/>
    <w:rsid w:val="00AD6A2F"/>
    <w:rsid w:val="00AE6C7C"/>
    <w:rsid w:val="00AF071A"/>
    <w:rsid w:val="00AF341B"/>
    <w:rsid w:val="00AF7845"/>
    <w:rsid w:val="00B006CE"/>
    <w:rsid w:val="00B017D7"/>
    <w:rsid w:val="00B01DF7"/>
    <w:rsid w:val="00B02394"/>
    <w:rsid w:val="00B0393A"/>
    <w:rsid w:val="00B04814"/>
    <w:rsid w:val="00B1090A"/>
    <w:rsid w:val="00B12F71"/>
    <w:rsid w:val="00B13230"/>
    <w:rsid w:val="00B137AB"/>
    <w:rsid w:val="00B137D2"/>
    <w:rsid w:val="00B13866"/>
    <w:rsid w:val="00B13E02"/>
    <w:rsid w:val="00B140D5"/>
    <w:rsid w:val="00B16C16"/>
    <w:rsid w:val="00B16DDC"/>
    <w:rsid w:val="00B17F65"/>
    <w:rsid w:val="00B31A7C"/>
    <w:rsid w:val="00B3437D"/>
    <w:rsid w:val="00B34B97"/>
    <w:rsid w:val="00B3744B"/>
    <w:rsid w:val="00B37E38"/>
    <w:rsid w:val="00B43C92"/>
    <w:rsid w:val="00B475F4"/>
    <w:rsid w:val="00B47FD8"/>
    <w:rsid w:val="00B51423"/>
    <w:rsid w:val="00B54BD8"/>
    <w:rsid w:val="00B55147"/>
    <w:rsid w:val="00B5790C"/>
    <w:rsid w:val="00B57FDE"/>
    <w:rsid w:val="00B71F37"/>
    <w:rsid w:val="00B72468"/>
    <w:rsid w:val="00B7560A"/>
    <w:rsid w:val="00B80E50"/>
    <w:rsid w:val="00B926A5"/>
    <w:rsid w:val="00B97C45"/>
    <w:rsid w:val="00BA0D42"/>
    <w:rsid w:val="00BA1A6F"/>
    <w:rsid w:val="00BC0572"/>
    <w:rsid w:val="00BC6863"/>
    <w:rsid w:val="00BD2CE7"/>
    <w:rsid w:val="00BD58AF"/>
    <w:rsid w:val="00BE1ED3"/>
    <w:rsid w:val="00BE265B"/>
    <w:rsid w:val="00BE5048"/>
    <w:rsid w:val="00BE622B"/>
    <w:rsid w:val="00BF6C21"/>
    <w:rsid w:val="00BF745C"/>
    <w:rsid w:val="00BF762F"/>
    <w:rsid w:val="00C0143A"/>
    <w:rsid w:val="00C02266"/>
    <w:rsid w:val="00C03F0C"/>
    <w:rsid w:val="00C07AA3"/>
    <w:rsid w:val="00C10976"/>
    <w:rsid w:val="00C10ABE"/>
    <w:rsid w:val="00C10C13"/>
    <w:rsid w:val="00C148D4"/>
    <w:rsid w:val="00C14ED5"/>
    <w:rsid w:val="00C177BE"/>
    <w:rsid w:val="00C2024F"/>
    <w:rsid w:val="00C20B34"/>
    <w:rsid w:val="00C21136"/>
    <w:rsid w:val="00C2131D"/>
    <w:rsid w:val="00C2434C"/>
    <w:rsid w:val="00C2665E"/>
    <w:rsid w:val="00C30505"/>
    <w:rsid w:val="00C35B16"/>
    <w:rsid w:val="00C36078"/>
    <w:rsid w:val="00C36217"/>
    <w:rsid w:val="00C36262"/>
    <w:rsid w:val="00C4690C"/>
    <w:rsid w:val="00C51907"/>
    <w:rsid w:val="00C52C4E"/>
    <w:rsid w:val="00C5490D"/>
    <w:rsid w:val="00C6063F"/>
    <w:rsid w:val="00C61B45"/>
    <w:rsid w:val="00C6508D"/>
    <w:rsid w:val="00C67A3B"/>
    <w:rsid w:val="00C72F59"/>
    <w:rsid w:val="00C75E65"/>
    <w:rsid w:val="00C86585"/>
    <w:rsid w:val="00CA05C1"/>
    <w:rsid w:val="00CA6DBD"/>
    <w:rsid w:val="00CB0693"/>
    <w:rsid w:val="00CB14F9"/>
    <w:rsid w:val="00CB42E5"/>
    <w:rsid w:val="00CC24F1"/>
    <w:rsid w:val="00CC4FAD"/>
    <w:rsid w:val="00CC5A25"/>
    <w:rsid w:val="00CC6912"/>
    <w:rsid w:val="00CC69A6"/>
    <w:rsid w:val="00CC7B48"/>
    <w:rsid w:val="00CD1DEB"/>
    <w:rsid w:val="00CE4159"/>
    <w:rsid w:val="00CE4D46"/>
    <w:rsid w:val="00CF3191"/>
    <w:rsid w:val="00CF62B2"/>
    <w:rsid w:val="00D0034C"/>
    <w:rsid w:val="00D036B0"/>
    <w:rsid w:val="00D0458C"/>
    <w:rsid w:val="00D0540F"/>
    <w:rsid w:val="00D05AF3"/>
    <w:rsid w:val="00D0732F"/>
    <w:rsid w:val="00D103C4"/>
    <w:rsid w:val="00D1466F"/>
    <w:rsid w:val="00D16E5B"/>
    <w:rsid w:val="00D16E75"/>
    <w:rsid w:val="00D1710A"/>
    <w:rsid w:val="00D178C2"/>
    <w:rsid w:val="00D21C50"/>
    <w:rsid w:val="00D26A35"/>
    <w:rsid w:val="00D303D4"/>
    <w:rsid w:val="00D32B17"/>
    <w:rsid w:val="00D40F4E"/>
    <w:rsid w:val="00D42675"/>
    <w:rsid w:val="00D427E2"/>
    <w:rsid w:val="00D43687"/>
    <w:rsid w:val="00D47DBD"/>
    <w:rsid w:val="00D5112F"/>
    <w:rsid w:val="00D56508"/>
    <w:rsid w:val="00D57878"/>
    <w:rsid w:val="00D610B4"/>
    <w:rsid w:val="00D61A42"/>
    <w:rsid w:val="00D63288"/>
    <w:rsid w:val="00D63563"/>
    <w:rsid w:val="00D72196"/>
    <w:rsid w:val="00D7647A"/>
    <w:rsid w:val="00D77977"/>
    <w:rsid w:val="00D942CA"/>
    <w:rsid w:val="00D975F3"/>
    <w:rsid w:val="00DA108B"/>
    <w:rsid w:val="00DA1932"/>
    <w:rsid w:val="00DA2B43"/>
    <w:rsid w:val="00DA2D82"/>
    <w:rsid w:val="00DA331C"/>
    <w:rsid w:val="00DA450E"/>
    <w:rsid w:val="00DA6D06"/>
    <w:rsid w:val="00DB167C"/>
    <w:rsid w:val="00DB75FF"/>
    <w:rsid w:val="00DB7697"/>
    <w:rsid w:val="00DB7C16"/>
    <w:rsid w:val="00DB7D23"/>
    <w:rsid w:val="00DC0599"/>
    <w:rsid w:val="00DC136C"/>
    <w:rsid w:val="00DC2F78"/>
    <w:rsid w:val="00DC4C9D"/>
    <w:rsid w:val="00DC5BF8"/>
    <w:rsid w:val="00DD0F26"/>
    <w:rsid w:val="00DE3EC8"/>
    <w:rsid w:val="00DE5301"/>
    <w:rsid w:val="00DE6349"/>
    <w:rsid w:val="00DE67E6"/>
    <w:rsid w:val="00DE6CB5"/>
    <w:rsid w:val="00DE7829"/>
    <w:rsid w:val="00DF1F07"/>
    <w:rsid w:val="00DF6B0C"/>
    <w:rsid w:val="00DF70DB"/>
    <w:rsid w:val="00E01087"/>
    <w:rsid w:val="00E012ED"/>
    <w:rsid w:val="00E01E60"/>
    <w:rsid w:val="00E02A03"/>
    <w:rsid w:val="00E061A9"/>
    <w:rsid w:val="00E10213"/>
    <w:rsid w:val="00E13CFE"/>
    <w:rsid w:val="00E201C3"/>
    <w:rsid w:val="00E23C4C"/>
    <w:rsid w:val="00E244C8"/>
    <w:rsid w:val="00E2595D"/>
    <w:rsid w:val="00E352C4"/>
    <w:rsid w:val="00E355FD"/>
    <w:rsid w:val="00E41DA4"/>
    <w:rsid w:val="00E45927"/>
    <w:rsid w:val="00E47F6F"/>
    <w:rsid w:val="00E51C51"/>
    <w:rsid w:val="00E573F9"/>
    <w:rsid w:val="00E647E1"/>
    <w:rsid w:val="00E70F5B"/>
    <w:rsid w:val="00E72357"/>
    <w:rsid w:val="00E760C1"/>
    <w:rsid w:val="00E9023E"/>
    <w:rsid w:val="00E903D3"/>
    <w:rsid w:val="00E94ABE"/>
    <w:rsid w:val="00E95DD4"/>
    <w:rsid w:val="00E96707"/>
    <w:rsid w:val="00EA11AC"/>
    <w:rsid w:val="00EA40DA"/>
    <w:rsid w:val="00EA5DC7"/>
    <w:rsid w:val="00EA5E1F"/>
    <w:rsid w:val="00EB35EA"/>
    <w:rsid w:val="00EB5EA0"/>
    <w:rsid w:val="00EB6F50"/>
    <w:rsid w:val="00EC0140"/>
    <w:rsid w:val="00EC187A"/>
    <w:rsid w:val="00EC1B36"/>
    <w:rsid w:val="00EC30AD"/>
    <w:rsid w:val="00EC359A"/>
    <w:rsid w:val="00EC5507"/>
    <w:rsid w:val="00ED2008"/>
    <w:rsid w:val="00ED6A92"/>
    <w:rsid w:val="00EE029E"/>
    <w:rsid w:val="00EE30DD"/>
    <w:rsid w:val="00EE357F"/>
    <w:rsid w:val="00EE3CCE"/>
    <w:rsid w:val="00EE48DF"/>
    <w:rsid w:val="00EF43B4"/>
    <w:rsid w:val="00EF4A67"/>
    <w:rsid w:val="00EF5612"/>
    <w:rsid w:val="00EF5C23"/>
    <w:rsid w:val="00EF62F1"/>
    <w:rsid w:val="00EF77F9"/>
    <w:rsid w:val="00EF7A3F"/>
    <w:rsid w:val="00F02343"/>
    <w:rsid w:val="00F0495B"/>
    <w:rsid w:val="00F13274"/>
    <w:rsid w:val="00F153B3"/>
    <w:rsid w:val="00F15868"/>
    <w:rsid w:val="00F15941"/>
    <w:rsid w:val="00F15C17"/>
    <w:rsid w:val="00F21525"/>
    <w:rsid w:val="00F22D25"/>
    <w:rsid w:val="00F314E3"/>
    <w:rsid w:val="00F31806"/>
    <w:rsid w:val="00F36A02"/>
    <w:rsid w:val="00F36AE1"/>
    <w:rsid w:val="00F41BA7"/>
    <w:rsid w:val="00F42930"/>
    <w:rsid w:val="00F437C8"/>
    <w:rsid w:val="00F44736"/>
    <w:rsid w:val="00F468D1"/>
    <w:rsid w:val="00F474F2"/>
    <w:rsid w:val="00F50776"/>
    <w:rsid w:val="00F52B83"/>
    <w:rsid w:val="00F53226"/>
    <w:rsid w:val="00F5422D"/>
    <w:rsid w:val="00F607D8"/>
    <w:rsid w:val="00F6154E"/>
    <w:rsid w:val="00F659D9"/>
    <w:rsid w:val="00F65B7C"/>
    <w:rsid w:val="00F65D6F"/>
    <w:rsid w:val="00F770F3"/>
    <w:rsid w:val="00F77442"/>
    <w:rsid w:val="00F8448F"/>
    <w:rsid w:val="00F876E8"/>
    <w:rsid w:val="00F87A77"/>
    <w:rsid w:val="00F92CAB"/>
    <w:rsid w:val="00F9323A"/>
    <w:rsid w:val="00F938A2"/>
    <w:rsid w:val="00FA12F7"/>
    <w:rsid w:val="00FA21E2"/>
    <w:rsid w:val="00FA392A"/>
    <w:rsid w:val="00FA41CA"/>
    <w:rsid w:val="00FA6BE5"/>
    <w:rsid w:val="00FB0ECF"/>
    <w:rsid w:val="00FB4547"/>
    <w:rsid w:val="00FB6E9E"/>
    <w:rsid w:val="00FC0B87"/>
    <w:rsid w:val="00FC0BBB"/>
    <w:rsid w:val="00FC4E73"/>
    <w:rsid w:val="00FC7A84"/>
    <w:rsid w:val="00FD3A74"/>
    <w:rsid w:val="00FD4F97"/>
    <w:rsid w:val="00FE0A63"/>
    <w:rsid w:val="00FE53F9"/>
    <w:rsid w:val="00FE6E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784F23F"/>
  <w15:docId w15:val="{FA6E3933-67A4-4831-A39E-4781D2807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039"/>
    <w:rPr>
      <w:rFonts w:ascii="Arial" w:eastAsia="Times" w:hAnsi="Arial"/>
      <w:sz w:val="24"/>
    </w:rPr>
  </w:style>
  <w:style w:type="paragraph" w:styleId="Heading1">
    <w:name w:val="heading 1"/>
    <w:basedOn w:val="Normal"/>
    <w:next w:val="Normal"/>
    <w:qFormat/>
    <w:rsid w:val="00E012ED"/>
    <w:pPr>
      <w:keepNext/>
      <w:spacing w:line="480" w:lineRule="auto"/>
      <w:outlineLvl w:val="0"/>
    </w:pPr>
    <w:rPr>
      <w:b/>
      <w:color w:val="9E0000"/>
      <w:sz w:val="32"/>
    </w:rPr>
  </w:style>
  <w:style w:type="paragraph" w:styleId="Heading2">
    <w:name w:val="heading 2"/>
    <w:basedOn w:val="Normal"/>
    <w:next w:val="Normal"/>
    <w:link w:val="Heading2Char"/>
    <w:qFormat/>
    <w:rsid w:val="00E012ED"/>
    <w:pPr>
      <w:keepNext/>
      <w:spacing w:before="240" w:after="60" w:line="480" w:lineRule="auto"/>
      <w:outlineLvl w:val="1"/>
    </w:pPr>
    <w:rPr>
      <w:b/>
      <w:color w:val="5F5F5F"/>
      <w:sz w:val="28"/>
    </w:rPr>
  </w:style>
  <w:style w:type="paragraph" w:styleId="Heading3">
    <w:name w:val="heading 3"/>
    <w:basedOn w:val="Normal"/>
    <w:next w:val="Normal"/>
    <w:qFormat/>
    <w:rsid w:val="003A5039"/>
    <w:pPr>
      <w:keepNext/>
      <w:spacing w:before="240" w:after="60" w:line="480" w:lineRule="auto"/>
      <w:outlineLvl w:val="2"/>
    </w:pPr>
    <w:rPr>
      <w:b/>
      <w:sz w:val="26"/>
    </w:rPr>
  </w:style>
  <w:style w:type="paragraph" w:styleId="Heading4">
    <w:name w:val="heading 4"/>
    <w:basedOn w:val="Normal"/>
    <w:next w:val="Normal"/>
    <w:qFormat/>
    <w:rsid w:val="003A5039"/>
    <w:pPr>
      <w:keepNext/>
      <w:spacing w:line="480" w:lineRule="auto"/>
      <w:outlineLvl w:val="3"/>
    </w:pPr>
    <w:rPr>
      <w:rFonts w:eastAsia="Times New Roman"/>
      <w:b/>
    </w:rPr>
  </w:style>
  <w:style w:type="paragraph" w:styleId="Heading5">
    <w:name w:val="heading 5"/>
    <w:basedOn w:val="Normal"/>
    <w:next w:val="Normal"/>
    <w:qFormat/>
    <w:rsid w:val="003A5039"/>
    <w:pPr>
      <w:spacing w:before="240" w:after="60" w:line="480" w:lineRule="auto"/>
      <w:outlineLvl w:val="4"/>
    </w:pPr>
    <w:rPr>
      <w:i/>
    </w:rPr>
  </w:style>
  <w:style w:type="paragraph" w:styleId="Heading6">
    <w:name w:val="heading 6"/>
    <w:basedOn w:val="Normal"/>
    <w:next w:val="Normal"/>
    <w:qFormat/>
    <w:rsid w:val="003A5039"/>
    <w:pPr>
      <w:keepNext/>
      <w:spacing w:line="480" w:lineRule="auto"/>
      <w:outlineLvl w:val="5"/>
    </w:pPr>
    <w:rPr>
      <w:rFonts w:eastAsia="Times New Roman"/>
      <w:b/>
      <w:sz w:val="22"/>
    </w:rPr>
  </w:style>
  <w:style w:type="paragraph" w:styleId="Heading7">
    <w:name w:val="heading 7"/>
    <w:aliases w:val="subsect 5 title"/>
    <w:basedOn w:val="Normal"/>
    <w:next w:val="Normal"/>
    <w:qFormat/>
    <w:rsid w:val="003A5039"/>
    <w:pPr>
      <w:keepNext/>
      <w:ind w:right="-900"/>
      <w:jc w:val="both"/>
      <w:outlineLvl w:val="6"/>
    </w:pPr>
    <w:rPr>
      <w:b/>
      <w:sz w:val="20"/>
    </w:rPr>
  </w:style>
  <w:style w:type="paragraph" w:styleId="Heading8">
    <w:name w:val="heading 8"/>
    <w:basedOn w:val="Normal"/>
    <w:next w:val="Normal"/>
    <w:qFormat/>
    <w:rsid w:val="003A5039"/>
    <w:pPr>
      <w:keepNext/>
      <w:spacing w:line="480" w:lineRule="auto"/>
      <w:ind w:left="6" w:right="-900" w:hanging="6"/>
      <w:jc w:val="both"/>
      <w:outlineLvl w:val="7"/>
    </w:pPr>
    <w:rPr>
      <w:b/>
      <w:sz w:val="20"/>
      <w:lang w:val="en-GB"/>
    </w:rPr>
  </w:style>
  <w:style w:type="paragraph" w:styleId="Heading9">
    <w:name w:val="heading 9"/>
    <w:basedOn w:val="Normal"/>
    <w:next w:val="Normal"/>
    <w:autoRedefine/>
    <w:qFormat/>
    <w:rsid w:val="003A5039"/>
    <w:pPr>
      <w:keepNext/>
      <w:outlineLvl w:val="8"/>
    </w:pPr>
    <w:rPr>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A50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Normal"/>
    <w:next w:val="Normal"/>
    <w:rsid w:val="003A5039"/>
    <w:rPr>
      <w:sz w:val="20"/>
    </w:rPr>
  </w:style>
  <w:style w:type="paragraph" w:customStyle="1" w:styleId="Comment">
    <w:name w:val="Comment"/>
    <w:basedOn w:val="Normal"/>
    <w:next w:val="Normal"/>
    <w:rsid w:val="00957C79"/>
    <w:pPr>
      <w:shd w:val="clear" w:color="auto" w:fill="FFFF00"/>
      <w:spacing w:before="120"/>
    </w:pPr>
    <w:rPr>
      <w:sz w:val="20"/>
    </w:rPr>
  </w:style>
  <w:style w:type="paragraph" w:customStyle="1" w:styleId="Blockquote">
    <w:name w:val="Blockquote"/>
    <w:basedOn w:val="Normal"/>
    <w:next w:val="Normal"/>
    <w:rsid w:val="00CC4FAD"/>
    <w:pPr>
      <w:pBdr>
        <w:top w:val="single" w:sz="2" w:space="1" w:color="C0C0C0"/>
        <w:left w:val="single" w:sz="2" w:space="4" w:color="C0C0C0"/>
        <w:bottom w:val="single" w:sz="2" w:space="1" w:color="C0C0C0"/>
        <w:right w:val="single" w:sz="2" w:space="4" w:color="C0C0C0"/>
      </w:pBdr>
      <w:shd w:val="clear" w:color="auto" w:fill="FFFFDD"/>
      <w:spacing w:before="120"/>
      <w:ind w:left="720"/>
    </w:pPr>
    <w:rPr>
      <w:rFonts w:ascii="Times New Roman" w:hAnsi="Times New Roman"/>
      <w:sz w:val="22"/>
    </w:rPr>
  </w:style>
  <w:style w:type="paragraph" w:customStyle="1" w:styleId="Preformatted">
    <w:name w:val="Preformatted"/>
    <w:basedOn w:val="Normal"/>
    <w:next w:val="Normal"/>
    <w:rsid w:val="00511822"/>
    <w:pPr>
      <w:pBdr>
        <w:top w:val="single" w:sz="2" w:space="1" w:color="auto"/>
        <w:left w:val="single" w:sz="2" w:space="4" w:color="auto"/>
        <w:bottom w:val="single" w:sz="2" w:space="1" w:color="auto"/>
        <w:right w:val="single" w:sz="2" w:space="4" w:color="auto"/>
      </w:pBdr>
      <w:shd w:val="clear" w:color="auto" w:fill="F3F3F3"/>
    </w:pPr>
    <w:rPr>
      <w:rFonts w:ascii="Courier New" w:hAnsi="Courier New"/>
      <w:color w:val="333333"/>
      <w:sz w:val="20"/>
    </w:rPr>
  </w:style>
  <w:style w:type="paragraph" w:customStyle="1" w:styleId="AbstractHeader">
    <w:name w:val="Abstract Header"/>
    <w:basedOn w:val="Heading2"/>
    <w:next w:val="Normal"/>
    <w:rsid w:val="0098430A"/>
    <w:rPr>
      <w:rFonts w:ascii="Times New Roman" w:hAnsi="Times New Roman"/>
    </w:rPr>
  </w:style>
  <w:style w:type="paragraph" w:customStyle="1" w:styleId="Glossarytableheader">
    <w:name w:val="Glossary table header"/>
    <w:basedOn w:val="Normal"/>
    <w:next w:val="Normal"/>
    <w:rsid w:val="004F2231"/>
    <w:rPr>
      <w:b/>
      <w:color w:val="FF6600"/>
      <w:sz w:val="22"/>
    </w:rPr>
  </w:style>
  <w:style w:type="paragraph" w:customStyle="1" w:styleId="Boxnumberandcaption">
    <w:name w:val="Box number and caption"/>
    <w:basedOn w:val="Heading3"/>
    <w:next w:val="Normal"/>
    <w:rsid w:val="00644FF3"/>
    <w:pPr>
      <w:shd w:val="clear" w:color="auto" w:fill="E6E6E6"/>
      <w:spacing w:before="120"/>
    </w:pPr>
    <w:rPr>
      <w:color w:val="666666"/>
      <w:sz w:val="24"/>
      <w:szCs w:val="28"/>
    </w:rPr>
  </w:style>
  <w:style w:type="paragraph" w:customStyle="1" w:styleId="Figurenumberandcaption">
    <w:name w:val="Figure number and caption"/>
    <w:basedOn w:val="Normal"/>
    <w:next w:val="Normal"/>
    <w:rsid w:val="00CB0693"/>
    <w:pPr>
      <w:spacing w:before="120"/>
    </w:pPr>
    <w:rPr>
      <w:color w:val="000080"/>
    </w:rPr>
  </w:style>
  <w:style w:type="paragraph" w:customStyle="1" w:styleId="Tablenumberandcaption">
    <w:name w:val="Table number and caption"/>
    <w:basedOn w:val="Normal"/>
    <w:next w:val="Normal"/>
    <w:rsid w:val="00A2415A"/>
    <w:pPr>
      <w:spacing w:before="120"/>
    </w:pPr>
    <w:rPr>
      <w:b/>
      <w:color w:val="006600"/>
      <w:sz w:val="22"/>
    </w:rPr>
  </w:style>
  <w:style w:type="paragraph" w:customStyle="1" w:styleId="Tableheader">
    <w:name w:val="Table header"/>
    <w:basedOn w:val="Normal"/>
    <w:next w:val="Normal"/>
    <w:rsid w:val="00697EB0"/>
    <w:rPr>
      <w:b/>
      <w:sz w:val="20"/>
    </w:rPr>
  </w:style>
  <w:style w:type="paragraph" w:customStyle="1" w:styleId="Tablebody">
    <w:name w:val="Table body"/>
    <w:basedOn w:val="Normal"/>
    <w:next w:val="Normal"/>
    <w:rsid w:val="00697EB0"/>
    <w:rPr>
      <w:sz w:val="20"/>
    </w:rPr>
  </w:style>
  <w:style w:type="paragraph" w:customStyle="1" w:styleId="Tablefooter">
    <w:name w:val="Table footer"/>
    <w:basedOn w:val="Normal"/>
    <w:next w:val="Normal"/>
    <w:rsid w:val="00697EB0"/>
    <w:rPr>
      <w:sz w:val="18"/>
    </w:rPr>
  </w:style>
  <w:style w:type="paragraph" w:customStyle="1" w:styleId="Alternateheading">
    <w:name w:val="Alternate heading"/>
    <w:basedOn w:val="Normal"/>
    <w:next w:val="Normal"/>
    <w:rsid w:val="008C7781"/>
    <w:rPr>
      <w:b/>
      <w:color w:val="800080"/>
      <w:sz w:val="22"/>
    </w:rPr>
  </w:style>
  <w:style w:type="paragraph" w:styleId="Footer">
    <w:name w:val="footer"/>
    <w:basedOn w:val="Normal"/>
    <w:semiHidden/>
    <w:rsid w:val="003A5039"/>
    <w:pPr>
      <w:tabs>
        <w:tab w:val="center" w:pos="4320"/>
        <w:tab w:val="right" w:pos="8640"/>
      </w:tabs>
    </w:pPr>
    <w:rPr>
      <w:rFonts w:ascii="Times New Roman" w:eastAsia="SimSun" w:hAnsi="Times New Roman"/>
      <w:szCs w:val="24"/>
      <w:lang w:eastAsia="zh-CN"/>
    </w:rPr>
  </w:style>
  <w:style w:type="character" w:customStyle="1" w:styleId="Glossaryref">
    <w:name w:val="Glossary ref"/>
    <w:rsid w:val="00BF762F"/>
    <w:rPr>
      <w:color w:val="FF6600"/>
    </w:rPr>
  </w:style>
  <w:style w:type="paragraph" w:customStyle="1" w:styleId="Boxsubhead">
    <w:name w:val="Box subhead"/>
    <w:basedOn w:val="Heading4"/>
    <w:next w:val="Normal"/>
    <w:rsid w:val="00644FF3"/>
    <w:rPr>
      <w:color w:val="808080"/>
      <w:sz w:val="22"/>
    </w:rPr>
  </w:style>
  <w:style w:type="paragraph" w:customStyle="1" w:styleId="FiguresTablesBoxesSectionHeading">
    <w:name w:val="Figures Tables Boxes Section Heading"/>
    <w:basedOn w:val="Heading2"/>
    <w:next w:val="Comment"/>
    <w:rsid w:val="00A82CCA"/>
    <w:rPr>
      <w:rFonts w:ascii="Verdana" w:hAnsi="Verdana"/>
      <w:color w:val="A50021"/>
      <w:sz w:val="24"/>
    </w:rPr>
  </w:style>
  <w:style w:type="paragraph" w:customStyle="1" w:styleId="Answer">
    <w:name w:val="Answer"/>
    <w:basedOn w:val="Normal"/>
    <w:next w:val="Normal"/>
    <w:rsid w:val="00BA1A6F"/>
    <w:pPr>
      <w:pBdr>
        <w:top w:val="single" w:sz="4" w:space="1" w:color="FFFFFF"/>
        <w:left w:val="single" w:sz="4" w:space="4" w:color="FFFFFF"/>
        <w:bottom w:val="single" w:sz="4" w:space="1" w:color="FFFFFF"/>
        <w:right w:val="single" w:sz="4" w:space="4" w:color="FFFFFF"/>
      </w:pBdr>
      <w:shd w:val="clear" w:color="auto" w:fill="ECFEDA"/>
    </w:pPr>
    <w:rPr>
      <w:rFonts w:ascii="Times New Roman" w:hAnsi="Times New Roman"/>
      <w:color w:val="800000"/>
    </w:rPr>
  </w:style>
  <w:style w:type="paragraph" w:customStyle="1" w:styleId="Question">
    <w:name w:val="Question"/>
    <w:basedOn w:val="Normal"/>
    <w:next w:val="Normal"/>
    <w:rsid w:val="00BA1A6F"/>
    <w:pPr>
      <w:pBdr>
        <w:top w:val="single" w:sz="4" w:space="1" w:color="FFFFFF"/>
        <w:left w:val="single" w:sz="4" w:space="4" w:color="FFFFFF"/>
        <w:bottom w:val="single" w:sz="4" w:space="1" w:color="FFFFFF"/>
        <w:right w:val="single" w:sz="4" w:space="4" w:color="FFFFFF"/>
      </w:pBdr>
      <w:shd w:val="clear" w:color="auto" w:fill="E9E6EE"/>
    </w:pPr>
    <w:rPr>
      <w:rFonts w:ascii="Verdana" w:hAnsi="Verdana"/>
      <w:color w:val="333399"/>
    </w:rPr>
  </w:style>
  <w:style w:type="character" w:customStyle="1" w:styleId="nc-highlight">
    <w:name w:val="nc-highlight"/>
    <w:rsid w:val="003456ED"/>
    <w:rPr>
      <w:bdr w:val="none" w:sz="0" w:space="0" w:color="auto"/>
      <w:shd w:val="clear" w:color="auto" w:fill="FFFF93"/>
    </w:rPr>
  </w:style>
  <w:style w:type="character" w:customStyle="1" w:styleId="nc-pageobject">
    <w:name w:val="nc-pageobject"/>
    <w:rsid w:val="00F65D6F"/>
    <w:rPr>
      <w:color w:val="993366"/>
      <w:bdr w:val="none" w:sz="0" w:space="0" w:color="auto"/>
      <w:shd w:val="clear" w:color="auto" w:fill="FFF0E1"/>
    </w:rPr>
  </w:style>
  <w:style w:type="character" w:customStyle="1" w:styleId="LabelorNumber">
    <w:name w:val="Label or Number"/>
    <w:rsid w:val="00D43687"/>
    <w:rPr>
      <w:rFonts w:ascii="Arial" w:hAnsi="Arial"/>
      <w:color w:val="auto"/>
      <w:sz w:val="22"/>
      <w:bdr w:val="none" w:sz="0" w:space="0" w:color="auto"/>
      <w:shd w:val="clear" w:color="auto" w:fill="33CCCC"/>
    </w:rPr>
  </w:style>
  <w:style w:type="paragraph" w:styleId="DocumentMap">
    <w:name w:val="Document Map"/>
    <w:basedOn w:val="Normal"/>
    <w:semiHidden/>
    <w:rsid w:val="00A23437"/>
    <w:pPr>
      <w:shd w:val="clear" w:color="auto" w:fill="000080"/>
    </w:pPr>
    <w:rPr>
      <w:rFonts w:ascii="Tahoma" w:hAnsi="Tahoma" w:cs="Tahoma"/>
      <w:sz w:val="20"/>
    </w:rPr>
  </w:style>
  <w:style w:type="paragraph" w:customStyle="1" w:styleId="Processinginstruction">
    <w:name w:val="Processing instruction"/>
    <w:basedOn w:val="Normal"/>
    <w:next w:val="Normal"/>
    <w:rsid w:val="00237B2B"/>
    <w:pPr>
      <w:shd w:val="clear" w:color="auto" w:fill="D6FF61"/>
    </w:pPr>
    <w:rPr>
      <w:rFonts w:ascii="Courier New" w:hAnsi="Courier New"/>
      <w:color w:val="000080"/>
    </w:rPr>
  </w:style>
  <w:style w:type="paragraph" w:customStyle="1" w:styleId="Equation">
    <w:name w:val="Equation"/>
    <w:basedOn w:val="Normal"/>
    <w:rsid w:val="007D5FC1"/>
    <w:pPr>
      <w:jc w:val="center"/>
    </w:pPr>
    <w:rPr>
      <w:rFonts w:eastAsia="Times New Roman"/>
      <w:color w:val="333398"/>
    </w:rPr>
  </w:style>
  <w:style w:type="paragraph" w:customStyle="1" w:styleId="Figuregraphic">
    <w:name w:val="Figure graphic"/>
    <w:basedOn w:val="Normal"/>
    <w:rsid w:val="007D5FC1"/>
    <w:pPr>
      <w:autoSpaceDE w:val="0"/>
      <w:autoSpaceDN w:val="0"/>
      <w:adjustRightInd w:val="0"/>
    </w:pPr>
    <w:rPr>
      <w:rFonts w:eastAsia="Times New Roman"/>
      <w:szCs w:val="24"/>
    </w:rPr>
  </w:style>
  <w:style w:type="paragraph" w:customStyle="1" w:styleId="Keywords">
    <w:name w:val="Keywords"/>
    <w:basedOn w:val="Normal"/>
    <w:rsid w:val="007D5FC1"/>
    <w:rPr>
      <w:rFonts w:eastAsia="Times New Roman"/>
      <w:color w:val="000080"/>
    </w:rPr>
  </w:style>
  <w:style w:type="character" w:customStyle="1" w:styleId="Processinginstructionchar">
    <w:name w:val="Processing instruction char"/>
    <w:qFormat/>
    <w:rsid w:val="007D5FC1"/>
    <w:rPr>
      <w:rFonts w:ascii="Courier New" w:hAnsi="Courier New"/>
      <w:sz w:val="18"/>
      <w:bdr w:val="none" w:sz="0" w:space="0" w:color="auto"/>
      <w:shd w:val="clear" w:color="auto" w:fill="D99594"/>
    </w:rPr>
  </w:style>
  <w:style w:type="paragraph" w:customStyle="1" w:styleId="Structuredabstractheading">
    <w:name w:val="Structured abstract heading"/>
    <w:basedOn w:val="Normal"/>
    <w:next w:val="Normal"/>
    <w:rsid w:val="007D5FC1"/>
    <w:pPr>
      <w:keepNext/>
      <w:spacing w:before="240" w:after="60" w:line="480" w:lineRule="auto"/>
      <w:outlineLvl w:val="2"/>
    </w:pPr>
    <w:rPr>
      <w:rFonts w:eastAsia="Times New Roman"/>
      <w:b/>
      <w:kern w:val="28"/>
      <w:sz w:val="26"/>
      <w:szCs w:val="24"/>
    </w:rPr>
  </w:style>
  <w:style w:type="paragraph" w:styleId="Subtitle">
    <w:name w:val="Subtitle"/>
    <w:basedOn w:val="Normal"/>
    <w:link w:val="SubtitleChar"/>
    <w:qFormat/>
    <w:rsid w:val="007D5FC1"/>
    <w:pPr>
      <w:keepNext/>
      <w:spacing w:before="240" w:after="60" w:line="480" w:lineRule="auto"/>
      <w:jc w:val="center"/>
      <w:outlineLvl w:val="1"/>
    </w:pPr>
    <w:rPr>
      <w:rFonts w:eastAsia="Times New Roman" w:cs="Arial"/>
      <w:b/>
      <w:kern w:val="28"/>
      <w:szCs w:val="24"/>
      <w:u w:val="single"/>
    </w:rPr>
  </w:style>
  <w:style w:type="character" w:customStyle="1" w:styleId="SubtitleChar">
    <w:name w:val="Subtitle Char"/>
    <w:link w:val="Subtitle"/>
    <w:rsid w:val="007D5FC1"/>
    <w:rPr>
      <w:rFonts w:ascii="Arial" w:hAnsi="Arial" w:cs="Arial"/>
      <w:b/>
      <w:kern w:val="28"/>
      <w:sz w:val="24"/>
      <w:szCs w:val="24"/>
      <w:u w:val="single"/>
    </w:rPr>
  </w:style>
  <w:style w:type="paragraph" w:customStyle="1" w:styleId="Boxcontent">
    <w:name w:val="Boxcontent"/>
    <w:basedOn w:val="Normal"/>
    <w:rsid w:val="00AB15DA"/>
    <w:rPr>
      <w:rFonts w:eastAsia="Times New Roman"/>
    </w:rPr>
  </w:style>
  <w:style w:type="character" w:styleId="Hyperlink">
    <w:name w:val="Hyperlink"/>
    <w:basedOn w:val="DefaultParagraphFont"/>
    <w:uiPriority w:val="99"/>
    <w:unhideWhenUsed/>
    <w:rsid w:val="0098055B"/>
    <w:rPr>
      <w:color w:val="0000FF"/>
      <w:u w:val="single"/>
    </w:rPr>
  </w:style>
  <w:style w:type="character" w:styleId="Emphasis">
    <w:name w:val="Emphasis"/>
    <w:basedOn w:val="DefaultParagraphFont"/>
    <w:uiPriority w:val="20"/>
    <w:qFormat/>
    <w:rsid w:val="00DA2B43"/>
    <w:rPr>
      <w:i/>
      <w:iCs/>
    </w:rPr>
  </w:style>
  <w:style w:type="paragraph" w:styleId="PlainText">
    <w:name w:val="Plain Text"/>
    <w:basedOn w:val="Normal"/>
    <w:link w:val="PlainTextChar"/>
    <w:uiPriority w:val="99"/>
    <w:unhideWhenUsed/>
    <w:rsid w:val="0068002B"/>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68002B"/>
    <w:rPr>
      <w:rFonts w:ascii="Calibri" w:eastAsiaTheme="minorHAnsi" w:hAnsi="Calibri" w:cstheme="minorBidi"/>
      <w:sz w:val="22"/>
      <w:szCs w:val="21"/>
    </w:rPr>
  </w:style>
  <w:style w:type="paragraph" w:styleId="BalloonText">
    <w:name w:val="Balloon Text"/>
    <w:basedOn w:val="Normal"/>
    <w:link w:val="BalloonTextChar"/>
    <w:rsid w:val="00B72468"/>
    <w:rPr>
      <w:rFonts w:ascii="Tahoma" w:hAnsi="Tahoma" w:cs="Tahoma"/>
      <w:sz w:val="16"/>
      <w:szCs w:val="16"/>
    </w:rPr>
  </w:style>
  <w:style w:type="character" w:customStyle="1" w:styleId="BalloonTextChar">
    <w:name w:val="Balloon Text Char"/>
    <w:basedOn w:val="DefaultParagraphFont"/>
    <w:link w:val="BalloonText"/>
    <w:rsid w:val="00B72468"/>
    <w:rPr>
      <w:rFonts w:ascii="Tahoma" w:eastAsia="Times" w:hAnsi="Tahoma" w:cs="Tahoma"/>
      <w:sz w:val="16"/>
      <w:szCs w:val="16"/>
    </w:rPr>
  </w:style>
  <w:style w:type="character" w:styleId="FollowedHyperlink">
    <w:name w:val="FollowedHyperlink"/>
    <w:basedOn w:val="DefaultParagraphFont"/>
    <w:rsid w:val="00B017D7"/>
    <w:rPr>
      <w:color w:val="800080" w:themeColor="followedHyperlink"/>
      <w:u w:val="single"/>
    </w:rPr>
  </w:style>
  <w:style w:type="paragraph" w:styleId="NormalWeb">
    <w:name w:val="Normal (Web)"/>
    <w:basedOn w:val="Normal"/>
    <w:uiPriority w:val="99"/>
    <w:unhideWhenUsed/>
    <w:rsid w:val="00EA5E1F"/>
    <w:pPr>
      <w:spacing w:before="100" w:beforeAutospacing="1" w:after="100" w:afterAutospacing="1"/>
    </w:pPr>
    <w:rPr>
      <w:rFonts w:ascii="Times New Roman" w:eastAsiaTheme="minorEastAsia" w:hAnsi="Times New Roman"/>
      <w:szCs w:val="24"/>
    </w:rPr>
  </w:style>
  <w:style w:type="paragraph" w:styleId="ListParagraph">
    <w:name w:val="List Paragraph"/>
    <w:basedOn w:val="Normal"/>
    <w:uiPriority w:val="34"/>
    <w:qFormat/>
    <w:rsid w:val="00823BE1"/>
    <w:pPr>
      <w:ind w:left="720"/>
    </w:pPr>
    <w:rPr>
      <w:rFonts w:ascii="Calibri" w:eastAsiaTheme="minorHAnsi" w:hAnsi="Calibri"/>
      <w:sz w:val="22"/>
      <w:szCs w:val="22"/>
    </w:rPr>
  </w:style>
  <w:style w:type="character" w:customStyle="1" w:styleId="ref-vol">
    <w:name w:val="ref-vol"/>
    <w:basedOn w:val="DefaultParagraphFont"/>
    <w:rsid w:val="00EC0140"/>
  </w:style>
  <w:style w:type="character" w:customStyle="1" w:styleId="Heading2Char">
    <w:name w:val="Heading 2 Char"/>
    <w:basedOn w:val="DefaultParagraphFont"/>
    <w:link w:val="Heading2"/>
    <w:rsid w:val="00700D74"/>
    <w:rPr>
      <w:rFonts w:ascii="Arial" w:eastAsia="Times" w:hAnsi="Arial"/>
      <w:b/>
      <w:color w:val="5F5F5F"/>
      <w:sz w:val="28"/>
    </w:rPr>
  </w:style>
  <w:style w:type="paragraph" w:styleId="HTMLPreformatted">
    <w:name w:val="HTML Preformatted"/>
    <w:basedOn w:val="Normal"/>
    <w:link w:val="HTMLPreformattedChar"/>
    <w:uiPriority w:val="99"/>
    <w:unhideWhenUsed/>
    <w:rsid w:val="004A33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rPr>
  </w:style>
  <w:style w:type="character" w:customStyle="1" w:styleId="HTMLPreformattedChar">
    <w:name w:val="HTML Preformatted Char"/>
    <w:basedOn w:val="DefaultParagraphFont"/>
    <w:link w:val="HTMLPreformatted"/>
    <w:uiPriority w:val="99"/>
    <w:rsid w:val="004A333B"/>
    <w:rPr>
      <w:rFonts w:ascii="Courier New" w:hAnsi="Courier New" w:cs="Courier New"/>
    </w:rPr>
  </w:style>
  <w:style w:type="character" w:styleId="CommentReference">
    <w:name w:val="annotation reference"/>
    <w:basedOn w:val="DefaultParagraphFont"/>
    <w:semiHidden/>
    <w:unhideWhenUsed/>
    <w:rsid w:val="003A64E4"/>
    <w:rPr>
      <w:sz w:val="16"/>
      <w:szCs w:val="16"/>
    </w:rPr>
  </w:style>
  <w:style w:type="paragraph" w:styleId="CommentText">
    <w:name w:val="annotation text"/>
    <w:basedOn w:val="Normal"/>
    <w:link w:val="CommentTextChar"/>
    <w:semiHidden/>
    <w:unhideWhenUsed/>
    <w:rsid w:val="003A64E4"/>
    <w:rPr>
      <w:sz w:val="20"/>
    </w:rPr>
  </w:style>
  <w:style w:type="character" w:customStyle="1" w:styleId="CommentTextChar">
    <w:name w:val="Comment Text Char"/>
    <w:basedOn w:val="DefaultParagraphFont"/>
    <w:link w:val="CommentText"/>
    <w:semiHidden/>
    <w:rsid w:val="003A64E4"/>
    <w:rPr>
      <w:rFonts w:ascii="Arial" w:eastAsia="Times" w:hAnsi="Arial"/>
    </w:rPr>
  </w:style>
  <w:style w:type="paragraph" w:styleId="CommentSubject">
    <w:name w:val="annotation subject"/>
    <w:basedOn w:val="CommentText"/>
    <w:next w:val="CommentText"/>
    <w:link w:val="CommentSubjectChar"/>
    <w:semiHidden/>
    <w:unhideWhenUsed/>
    <w:rsid w:val="003A64E4"/>
    <w:rPr>
      <w:b/>
      <w:bCs/>
    </w:rPr>
  </w:style>
  <w:style w:type="character" w:customStyle="1" w:styleId="CommentSubjectChar">
    <w:name w:val="Comment Subject Char"/>
    <w:basedOn w:val="CommentTextChar"/>
    <w:link w:val="CommentSubject"/>
    <w:semiHidden/>
    <w:rsid w:val="003A64E4"/>
    <w:rPr>
      <w:rFonts w:ascii="Arial" w:eastAsia="Times" w:hAnsi="Arial"/>
      <w:b/>
      <w:bCs/>
    </w:rPr>
  </w:style>
  <w:style w:type="paragraph" w:styleId="Revision">
    <w:name w:val="Revision"/>
    <w:hidden/>
    <w:uiPriority w:val="99"/>
    <w:semiHidden/>
    <w:rsid w:val="003A64E4"/>
    <w:rPr>
      <w:rFonts w:ascii="Arial" w:eastAsia="Times"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91816">
      <w:bodyDiv w:val="1"/>
      <w:marLeft w:val="0"/>
      <w:marRight w:val="0"/>
      <w:marTop w:val="0"/>
      <w:marBottom w:val="0"/>
      <w:divBdr>
        <w:top w:val="none" w:sz="0" w:space="0" w:color="auto"/>
        <w:left w:val="none" w:sz="0" w:space="0" w:color="auto"/>
        <w:bottom w:val="none" w:sz="0" w:space="0" w:color="auto"/>
        <w:right w:val="none" w:sz="0" w:space="0" w:color="auto"/>
      </w:divBdr>
    </w:div>
    <w:div w:id="54595959">
      <w:bodyDiv w:val="1"/>
      <w:marLeft w:val="0"/>
      <w:marRight w:val="0"/>
      <w:marTop w:val="0"/>
      <w:marBottom w:val="0"/>
      <w:divBdr>
        <w:top w:val="none" w:sz="0" w:space="0" w:color="auto"/>
        <w:left w:val="none" w:sz="0" w:space="0" w:color="auto"/>
        <w:bottom w:val="none" w:sz="0" w:space="0" w:color="auto"/>
        <w:right w:val="none" w:sz="0" w:space="0" w:color="auto"/>
      </w:divBdr>
    </w:div>
    <w:div w:id="180248455">
      <w:bodyDiv w:val="1"/>
      <w:marLeft w:val="0"/>
      <w:marRight w:val="0"/>
      <w:marTop w:val="0"/>
      <w:marBottom w:val="0"/>
      <w:divBdr>
        <w:top w:val="none" w:sz="0" w:space="0" w:color="auto"/>
        <w:left w:val="none" w:sz="0" w:space="0" w:color="auto"/>
        <w:bottom w:val="none" w:sz="0" w:space="0" w:color="auto"/>
        <w:right w:val="none" w:sz="0" w:space="0" w:color="auto"/>
      </w:divBdr>
      <w:divsChild>
        <w:div w:id="301664534">
          <w:marLeft w:val="0"/>
          <w:marRight w:val="0"/>
          <w:marTop w:val="0"/>
          <w:marBottom w:val="0"/>
          <w:divBdr>
            <w:top w:val="none" w:sz="0" w:space="0" w:color="auto"/>
            <w:left w:val="none" w:sz="0" w:space="0" w:color="auto"/>
            <w:bottom w:val="none" w:sz="0" w:space="0" w:color="auto"/>
            <w:right w:val="none" w:sz="0" w:space="0" w:color="auto"/>
          </w:divBdr>
        </w:div>
        <w:div w:id="594677838">
          <w:marLeft w:val="0"/>
          <w:marRight w:val="0"/>
          <w:marTop w:val="0"/>
          <w:marBottom w:val="0"/>
          <w:divBdr>
            <w:top w:val="none" w:sz="0" w:space="0" w:color="auto"/>
            <w:left w:val="none" w:sz="0" w:space="0" w:color="auto"/>
            <w:bottom w:val="none" w:sz="0" w:space="0" w:color="auto"/>
            <w:right w:val="none" w:sz="0" w:space="0" w:color="auto"/>
          </w:divBdr>
        </w:div>
      </w:divsChild>
    </w:div>
    <w:div w:id="393553039">
      <w:bodyDiv w:val="1"/>
      <w:marLeft w:val="0"/>
      <w:marRight w:val="0"/>
      <w:marTop w:val="0"/>
      <w:marBottom w:val="0"/>
      <w:divBdr>
        <w:top w:val="none" w:sz="0" w:space="0" w:color="auto"/>
        <w:left w:val="none" w:sz="0" w:space="0" w:color="auto"/>
        <w:bottom w:val="none" w:sz="0" w:space="0" w:color="auto"/>
        <w:right w:val="none" w:sz="0" w:space="0" w:color="auto"/>
      </w:divBdr>
    </w:div>
    <w:div w:id="413354918">
      <w:bodyDiv w:val="1"/>
      <w:marLeft w:val="0"/>
      <w:marRight w:val="0"/>
      <w:marTop w:val="0"/>
      <w:marBottom w:val="0"/>
      <w:divBdr>
        <w:top w:val="none" w:sz="0" w:space="0" w:color="auto"/>
        <w:left w:val="none" w:sz="0" w:space="0" w:color="auto"/>
        <w:bottom w:val="none" w:sz="0" w:space="0" w:color="auto"/>
        <w:right w:val="none" w:sz="0" w:space="0" w:color="auto"/>
      </w:divBdr>
    </w:div>
    <w:div w:id="445580112">
      <w:bodyDiv w:val="1"/>
      <w:marLeft w:val="0"/>
      <w:marRight w:val="0"/>
      <w:marTop w:val="0"/>
      <w:marBottom w:val="0"/>
      <w:divBdr>
        <w:top w:val="none" w:sz="0" w:space="0" w:color="auto"/>
        <w:left w:val="none" w:sz="0" w:space="0" w:color="auto"/>
        <w:bottom w:val="none" w:sz="0" w:space="0" w:color="auto"/>
        <w:right w:val="none" w:sz="0" w:space="0" w:color="auto"/>
      </w:divBdr>
    </w:div>
    <w:div w:id="592934157">
      <w:bodyDiv w:val="1"/>
      <w:marLeft w:val="0"/>
      <w:marRight w:val="0"/>
      <w:marTop w:val="0"/>
      <w:marBottom w:val="0"/>
      <w:divBdr>
        <w:top w:val="none" w:sz="0" w:space="0" w:color="auto"/>
        <w:left w:val="none" w:sz="0" w:space="0" w:color="auto"/>
        <w:bottom w:val="none" w:sz="0" w:space="0" w:color="auto"/>
        <w:right w:val="none" w:sz="0" w:space="0" w:color="auto"/>
      </w:divBdr>
    </w:div>
    <w:div w:id="604654498">
      <w:bodyDiv w:val="1"/>
      <w:marLeft w:val="0"/>
      <w:marRight w:val="0"/>
      <w:marTop w:val="0"/>
      <w:marBottom w:val="0"/>
      <w:divBdr>
        <w:top w:val="none" w:sz="0" w:space="0" w:color="auto"/>
        <w:left w:val="none" w:sz="0" w:space="0" w:color="auto"/>
        <w:bottom w:val="none" w:sz="0" w:space="0" w:color="auto"/>
        <w:right w:val="none" w:sz="0" w:space="0" w:color="auto"/>
      </w:divBdr>
    </w:div>
    <w:div w:id="796410660">
      <w:bodyDiv w:val="1"/>
      <w:marLeft w:val="0"/>
      <w:marRight w:val="0"/>
      <w:marTop w:val="0"/>
      <w:marBottom w:val="0"/>
      <w:divBdr>
        <w:top w:val="none" w:sz="0" w:space="0" w:color="auto"/>
        <w:left w:val="none" w:sz="0" w:space="0" w:color="auto"/>
        <w:bottom w:val="none" w:sz="0" w:space="0" w:color="auto"/>
        <w:right w:val="none" w:sz="0" w:space="0" w:color="auto"/>
      </w:divBdr>
    </w:div>
    <w:div w:id="909534663">
      <w:bodyDiv w:val="1"/>
      <w:marLeft w:val="0"/>
      <w:marRight w:val="0"/>
      <w:marTop w:val="0"/>
      <w:marBottom w:val="0"/>
      <w:divBdr>
        <w:top w:val="none" w:sz="0" w:space="0" w:color="auto"/>
        <w:left w:val="none" w:sz="0" w:space="0" w:color="auto"/>
        <w:bottom w:val="none" w:sz="0" w:space="0" w:color="auto"/>
        <w:right w:val="none" w:sz="0" w:space="0" w:color="auto"/>
      </w:divBdr>
    </w:div>
    <w:div w:id="997197908">
      <w:bodyDiv w:val="1"/>
      <w:marLeft w:val="0"/>
      <w:marRight w:val="0"/>
      <w:marTop w:val="0"/>
      <w:marBottom w:val="0"/>
      <w:divBdr>
        <w:top w:val="none" w:sz="0" w:space="0" w:color="auto"/>
        <w:left w:val="none" w:sz="0" w:space="0" w:color="auto"/>
        <w:bottom w:val="none" w:sz="0" w:space="0" w:color="auto"/>
        <w:right w:val="none" w:sz="0" w:space="0" w:color="auto"/>
      </w:divBdr>
    </w:div>
    <w:div w:id="1000036496">
      <w:bodyDiv w:val="1"/>
      <w:marLeft w:val="0"/>
      <w:marRight w:val="0"/>
      <w:marTop w:val="0"/>
      <w:marBottom w:val="0"/>
      <w:divBdr>
        <w:top w:val="none" w:sz="0" w:space="0" w:color="auto"/>
        <w:left w:val="none" w:sz="0" w:space="0" w:color="auto"/>
        <w:bottom w:val="none" w:sz="0" w:space="0" w:color="auto"/>
        <w:right w:val="none" w:sz="0" w:space="0" w:color="auto"/>
      </w:divBdr>
    </w:div>
    <w:div w:id="1015618992">
      <w:bodyDiv w:val="1"/>
      <w:marLeft w:val="0"/>
      <w:marRight w:val="0"/>
      <w:marTop w:val="0"/>
      <w:marBottom w:val="0"/>
      <w:divBdr>
        <w:top w:val="none" w:sz="0" w:space="0" w:color="auto"/>
        <w:left w:val="none" w:sz="0" w:space="0" w:color="auto"/>
        <w:bottom w:val="none" w:sz="0" w:space="0" w:color="auto"/>
        <w:right w:val="none" w:sz="0" w:space="0" w:color="auto"/>
      </w:divBdr>
    </w:div>
    <w:div w:id="1150440999">
      <w:bodyDiv w:val="1"/>
      <w:marLeft w:val="0"/>
      <w:marRight w:val="0"/>
      <w:marTop w:val="0"/>
      <w:marBottom w:val="0"/>
      <w:divBdr>
        <w:top w:val="none" w:sz="0" w:space="0" w:color="auto"/>
        <w:left w:val="none" w:sz="0" w:space="0" w:color="auto"/>
        <w:bottom w:val="none" w:sz="0" w:space="0" w:color="auto"/>
        <w:right w:val="none" w:sz="0" w:space="0" w:color="auto"/>
      </w:divBdr>
    </w:div>
    <w:div w:id="1228152244">
      <w:bodyDiv w:val="1"/>
      <w:marLeft w:val="0"/>
      <w:marRight w:val="0"/>
      <w:marTop w:val="0"/>
      <w:marBottom w:val="0"/>
      <w:divBdr>
        <w:top w:val="none" w:sz="0" w:space="0" w:color="auto"/>
        <w:left w:val="none" w:sz="0" w:space="0" w:color="auto"/>
        <w:bottom w:val="none" w:sz="0" w:space="0" w:color="auto"/>
        <w:right w:val="none" w:sz="0" w:space="0" w:color="auto"/>
      </w:divBdr>
      <w:divsChild>
        <w:div w:id="259022619">
          <w:marLeft w:val="0"/>
          <w:marRight w:val="0"/>
          <w:marTop w:val="0"/>
          <w:marBottom w:val="0"/>
          <w:divBdr>
            <w:top w:val="none" w:sz="0" w:space="0" w:color="auto"/>
            <w:left w:val="none" w:sz="0" w:space="0" w:color="auto"/>
            <w:bottom w:val="none" w:sz="0" w:space="0" w:color="auto"/>
            <w:right w:val="none" w:sz="0" w:space="0" w:color="auto"/>
          </w:divBdr>
        </w:div>
        <w:div w:id="734204507">
          <w:marLeft w:val="0"/>
          <w:marRight w:val="0"/>
          <w:marTop w:val="0"/>
          <w:marBottom w:val="0"/>
          <w:divBdr>
            <w:top w:val="none" w:sz="0" w:space="0" w:color="auto"/>
            <w:left w:val="none" w:sz="0" w:space="0" w:color="auto"/>
            <w:bottom w:val="none" w:sz="0" w:space="0" w:color="auto"/>
            <w:right w:val="none" w:sz="0" w:space="0" w:color="auto"/>
          </w:divBdr>
        </w:div>
        <w:div w:id="741412984">
          <w:marLeft w:val="0"/>
          <w:marRight w:val="0"/>
          <w:marTop w:val="0"/>
          <w:marBottom w:val="0"/>
          <w:divBdr>
            <w:top w:val="none" w:sz="0" w:space="0" w:color="auto"/>
            <w:left w:val="none" w:sz="0" w:space="0" w:color="auto"/>
            <w:bottom w:val="none" w:sz="0" w:space="0" w:color="auto"/>
            <w:right w:val="none" w:sz="0" w:space="0" w:color="auto"/>
          </w:divBdr>
        </w:div>
        <w:div w:id="1298291453">
          <w:marLeft w:val="0"/>
          <w:marRight w:val="0"/>
          <w:marTop w:val="0"/>
          <w:marBottom w:val="0"/>
          <w:divBdr>
            <w:top w:val="none" w:sz="0" w:space="0" w:color="auto"/>
            <w:left w:val="none" w:sz="0" w:space="0" w:color="auto"/>
            <w:bottom w:val="none" w:sz="0" w:space="0" w:color="auto"/>
            <w:right w:val="none" w:sz="0" w:space="0" w:color="auto"/>
          </w:divBdr>
        </w:div>
        <w:div w:id="1509365254">
          <w:marLeft w:val="0"/>
          <w:marRight w:val="0"/>
          <w:marTop w:val="0"/>
          <w:marBottom w:val="0"/>
          <w:divBdr>
            <w:top w:val="none" w:sz="0" w:space="0" w:color="auto"/>
            <w:left w:val="none" w:sz="0" w:space="0" w:color="auto"/>
            <w:bottom w:val="none" w:sz="0" w:space="0" w:color="auto"/>
            <w:right w:val="none" w:sz="0" w:space="0" w:color="auto"/>
          </w:divBdr>
        </w:div>
        <w:div w:id="1616866030">
          <w:marLeft w:val="0"/>
          <w:marRight w:val="0"/>
          <w:marTop w:val="0"/>
          <w:marBottom w:val="0"/>
          <w:divBdr>
            <w:top w:val="none" w:sz="0" w:space="0" w:color="auto"/>
            <w:left w:val="none" w:sz="0" w:space="0" w:color="auto"/>
            <w:bottom w:val="none" w:sz="0" w:space="0" w:color="auto"/>
            <w:right w:val="none" w:sz="0" w:space="0" w:color="auto"/>
          </w:divBdr>
        </w:div>
        <w:div w:id="1697996065">
          <w:marLeft w:val="0"/>
          <w:marRight w:val="0"/>
          <w:marTop w:val="0"/>
          <w:marBottom w:val="0"/>
          <w:divBdr>
            <w:top w:val="none" w:sz="0" w:space="0" w:color="auto"/>
            <w:left w:val="none" w:sz="0" w:space="0" w:color="auto"/>
            <w:bottom w:val="none" w:sz="0" w:space="0" w:color="auto"/>
            <w:right w:val="none" w:sz="0" w:space="0" w:color="auto"/>
          </w:divBdr>
        </w:div>
        <w:div w:id="1750418459">
          <w:marLeft w:val="0"/>
          <w:marRight w:val="0"/>
          <w:marTop w:val="0"/>
          <w:marBottom w:val="0"/>
          <w:divBdr>
            <w:top w:val="none" w:sz="0" w:space="0" w:color="auto"/>
            <w:left w:val="none" w:sz="0" w:space="0" w:color="auto"/>
            <w:bottom w:val="none" w:sz="0" w:space="0" w:color="auto"/>
            <w:right w:val="none" w:sz="0" w:space="0" w:color="auto"/>
          </w:divBdr>
        </w:div>
      </w:divsChild>
    </w:div>
    <w:div w:id="1308440662">
      <w:bodyDiv w:val="1"/>
      <w:marLeft w:val="0"/>
      <w:marRight w:val="0"/>
      <w:marTop w:val="0"/>
      <w:marBottom w:val="0"/>
      <w:divBdr>
        <w:top w:val="none" w:sz="0" w:space="0" w:color="auto"/>
        <w:left w:val="none" w:sz="0" w:space="0" w:color="auto"/>
        <w:bottom w:val="none" w:sz="0" w:space="0" w:color="auto"/>
        <w:right w:val="none" w:sz="0" w:space="0" w:color="auto"/>
      </w:divBdr>
    </w:div>
    <w:div w:id="1367295812">
      <w:bodyDiv w:val="1"/>
      <w:marLeft w:val="0"/>
      <w:marRight w:val="0"/>
      <w:marTop w:val="0"/>
      <w:marBottom w:val="0"/>
      <w:divBdr>
        <w:top w:val="none" w:sz="0" w:space="0" w:color="auto"/>
        <w:left w:val="none" w:sz="0" w:space="0" w:color="auto"/>
        <w:bottom w:val="none" w:sz="0" w:space="0" w:color="auto"/>
        <w:right w:val="none" w:sz="0" w:space="0" w:color="auto"/>
      </w:divBdr>
    </w:div>
    <w:div w:id="1376202603">
      <w:bodyDiv w:val="1"/>
      <w:marLeft w:val="0"/>
      <w:marRight w:val="0"/>
      <w:marTop w:val="0"/>
      <w:marBottom w:val="0"/>
      <w:divBdr>
        <w:top w:val="none" w:sz="0" w:space="0" w:color="auto"/>
        <w:left w:val="none" w:sz="0" w:space="0" w:color="auto"/>
        <w:bottom w:val="none" w:sz="0" w:space="0" w:color="auto"/>
        <w:right w:val="none" w:sz="0" w:space="0" w:color="auto"/>
      </w:divBdr>
      <w:divsChild>
        <w:div w:id="1697998427">
          <w:marLeft w:val="0"/>
          <w:marRight w:val="1"/>
          <w:marTop w:val="0"/>
          <w:marBottom w:val="0"/>
          <w:divBdr>
            <w:top w:val="none" w:sz="0" w:space="0" w:color="auto"/>
            <w:left w:val="none" w:sz="0" w:space="0" w:color="auto"/>
            <w:bottom w:val="none" w:sz="0" w:space="0" w:color="auto"/>
            <w:right w:val="none" w:sz="0" w:space="0" w:color="auto"/>
          </w:divBdr>
          <w:divsChild>
            <w:div w:id="723061113">
              <w:marLeft w:val="0"/>
              <w:marRight w:val="0"/>
              <w:marTop w:val="0"/>
              <w:marBottom w:val="0"/>
              <w:divBdr>
                <w:top w:val="none" w:sz="0" w:space="0" w:color="auto"/>
                <w:left w:val="none" w:sz="0" w:space="0" w:color="auto"/>
                <w:bottom w:val="none" w:sz="0" w:space="0" w:color="auto"/>
                <w:right w:val="none" w:sz="0" w:space="0" w:color="auto"/>
              </w:divBdr>
              <w:divsChild>
                <w:div w:id="1537810999">
                  <w:marLeft w:val="0"/>
                  <w:marRight w:val="1"/>
                  <w:marTop w:val="0"/>
                  <w:marBottom w:val="0"/>
                  <w:divBdr>
                    <w:top w:val="none" w:sz="0" w:space="0" w:color="auto"/>
                    <w:left w:val="none" w:sz="0" w:space="0" w:color="auto"/>
                    <w:bottom w:val="none" w:sz="0" w:space="0" w:color="auto"/>
                    <w:right w:val="none" w:sz="0" w:space="0" w:color="auto"/>
                  </w:divBdr>
                  <w:divsChild>
                    <w:div w:id="478111163">
                      <w:marLeft w:val="0"/>
                      <w:marRight w:val="0"/>
                      <w:marTop w:val="0"/>
                      <w:marBottom w:val="0"/>
                      <w:divBdr>
                        <w:top w:val="none" w:sz="0" w:space="0" w:color="auto"/>
                        <w:left w:val="none" w:sz="0" w:space="0" w:color="auto"/>
                        <w:bottom w:val="none" w:sz="0" w:space="0" w:color="auto"/>
                        <w:right w:val="none" w:sz="0" w:space="0" w:color="auto"/>
                      </w:divBdr>
                      <w:divsChild>
                        <w:div w:id="117379090">
                          <w:marLeft w:val="0"/>
                          <w:marRight w:val="0"/>
                          <w:marTop w:val="0"/>
                          <w:marBottom w:val="0"/>
                          <w:divBdr>
                            <w:top w:val="none" w:sz="0" w:space="0" w:color="auto"/>
                            <w:left w:val="none" w:sz="0" w:space="0" w:color="auto"/>
                            <w:bottom w:val="none" w:sz="0" w:space="0" w:color="auto"/>
                            <w:right w:val="none" w:sz="0" w:space="0" w:color="auto"/>
                          </w:divBdr>
                          <w:divsChild>
                            <w:div w:id="1508399828">
                              <w:marLeft w:val="0"/>
                              <w:marRight w:val="0"/>
                              <w:marTop w:val="120"/>
                              <w:marBottom w:val="360"/>
                              <w:divBdr>
                                <w:top w:val="none" w:sz="0" w:space="0" w:color="auto"/>
                                <w:left w:val="none" w:sz="0" w:space="0" w:color="auto"/>
                                <w:bottom w:val="none" w:sz="0" w:space="0" w:color="auto"/>
                                <w:right w:val="none" w:sz="0" w:space="0" w:color="auto"/>
                              </w:divBdr>
                              <w:divsChild>
                                <w:div w:id="432096510">
                                  <w:marLeft w:val="0"/>
                                  <w:marRight w:val="0"/>
                                  <w:marTop w:val="0"/>
                                  <w:marBottom w:val="0"/>
                                  <w:divBdr>
                                    <w:top w:val="none" w:sz="0" w:space="0" w:color="auto"/>
                                    <w:left w:val="none" w:sz="0" w:space="0" w:color="auto"/>
                                    <w:bottom w:val="none" w:sz="0" w:space="0" w:color="auto"/>
                                    <w:right w:val="none" w:sz="0" w:space="0" w:color="auto"/>
                                  </w:divBdr>
                                  <w:divsChild>
                                    <w:div w:id="339043389">
                                      <w:marLeft w:val="0"/>
                                      <w:marRight w:val="0"/>
                                      <w:marTop w:val="0"/>
                                      <w:marBottom w:val="0"/>
                                      <w:divBdr>
                                        <w:top w:val="none" w:sz="0" w:space="0" w:color="auto"/>
                                        <w:left w:val="none" w:sz="0" w:space="0" w:color="auto"/>
                                        <w:bottom w:val="none" w:sz="0" w:space="0" w:color="auto"/>
                                        <w:right w:val="none" w:sz="0" w:space="0" w:color="auto"/>
                                      </w:divBdr>
                                      <w:divsChild>
                                        <w:div w:id="129467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0808606">
      <w:bodyDiv w:val="1"/>
      <w:marLeft w:val="0"/>
      <w:marRight w:val="0"/>
      <w:marTop w:val="0"/>
      <w:marBottom w:val="0"/>
      <w:divBdr>
        <w:top w:val="none" w:sz="0" w:space="0" w:color="auto"/>
        <w:left w:val="none" w:sz="0" w:space="0" w:color="auto"/>
        <w:bottom w:val="none" w:sz="0" w:space="0" w:color="auto"/>
        <w:right w:val="none" w:sz="0" w:space="0" w:color="auto"/>
      </w:divBdr>
    </w:div>
    <w:div w:id="1439791770">
      <w:bodyDiv w:val="1"/>
      <w:marLeft w:val="0"/>
      <w:marRight w:val="0"/>
      <w:marTop w:val="0"/>
      <w:marBottom w:val="0"/>
      <w:divBdr>
        <w:top w:val="none" w:sz="0" w:space="0" w:color="auto"/>
        <w:left w:val="none" w:sz="0" w:space="0" w:color="auto"/>
        <w:bottom w:val="none" w:sz="0" w:space="0" w:color="auto"/>
        <w:right w:val="none" w:sz="0" w:space="0" w:color="auto"/>
      </w:divBdr>
    </w:div>
    <w:div w:id="1463889509">
      <w:bodyDiv w:val="1"/>
      <w:marLeft w:val="0"/>
      <w:marRight w:val="0"/>
      <w:marTop w:val="0"/>
      <w:marBottom w:val="0"/>
      <w:divBdr>
        <w:top w:val="none" w:sz="0" w:space="0" w:color="auto"/>
        <w:left w:val="none" w:sz="0" w:space="0" w:color="auto"/>
        <w:bottom w:val="none" w:sz="0" w:space="0" w:color="auto"/>
        <w:right w:val="none" w:sz="0" w:space="0" w:color="auto"/>
      </w:divBdr>
    </w:div>
    <w:div w:id="1488126527">
      <w:bodyDiv w:val="1"/>
      <w:marLeft w:val="0"/>
      <w:marRight w:val="0"/>
      <w:marTop w:val="0"/>
      <w:marBottom w:val="0"/>
      <w:divBdr>
        <w:top w:val="none" w:sz="0" w:space="0" w:color="auto"/>
        <w:left w:val="none" w:sz="0" w:space="0" w:color="auto"/>
        <w:bottom w:val="none" w:sz="0" w:space="0" w:color="auto"/>
        <w:right w:val="none" w:sz="0" w:space="0" w:color="auto"/>
      </w:divBdr>
    </w:div>
    <w:div w:id="1552425889">
      <w:bodyDiv w:val="1"/>
      <w:marLeft w:val="0"/>
      <w:marRight w:val="0"/>
      <w:marTop w:val="0"/>
      <w:marBottom w:val="0"/>
      <w:divBdr>
        <w:top w:val="none" w:sz="0" w:space="0" w:color="auto"/>
        <w:left w:val="none" w:sz="0" w:space="0" w:color="auto"/>
        <w:bottom w:val="none" w:sz="0" w:space="0" w:color="auto"/>
        <w:right w:val="none" w:sz="0" w:space="0" w:color="auto"/>
      </w:divBdr>
    </w:div>
    <w:div w:id="1560938565">
      <w:bodyDiv w:val="1"/>
      <w:marLeft w:val="0"/>
      <w:marRight w:val="0"/>
      <w:marTop w:val="0"/>
      <w:marBottom w:val="0"/>
      <w:divBdr>
        <w:top w:val="none" w:sz="0" w:space="0" w:color="auto"/>
        <w:left w:val="none" w:sz="0" w:space="0" w:color="auto"/>
        <w:bottom w:val="none" w:sz="0" w:space="0" w:color="auto"/>
        <w:right w:val="none" w:sz="0" w:space="0" w:color="auto"/>
      </w:divBdr>
    </w:div>
    <w:div w:id="1646739910">
      <w:bodyDiv w:val="1"/>
      <w:marLeft w:val="0"/>
      <w:marRight w:val="0"/>
      <w:marTop w:val="0"/>
      <w:marBottom w:val="0"/>
      <w:divBdr>
        <w:top w:val="none" w:sz="0" w:space="0" w:color="auto"/>
        <w:left w:val="none" w:sz="0" w:space="0" w:color="auto"/>
        <w:bottom w:val="none" w:sz="0" w:space="0" w:color="auto"/>
        <w:right w:val="none" w:sz="0" w:space="0" w:color="auto"/>
      </w:divBdr>
    </w:div>
    <w:div w:id="1655910732">
      <w:bodyDiv w:val="1"/>
      <w:marLeft w:val="0"/>
      <w:marRight w:val="0"/>
      <w:marTop w:val="0"/>
      <w:marBottom w:val="0"/>
      <w:divBdr>
        <w:top w:val="none" w:sz="0" w:space="0" w:color="auto"/>
        <w:left w:val="none" w:sz="0" w:space="0" w:color="auto"/>
        <w:bottom w:val="none" w:sz="0" w:space="0" w:color="auto"/>
        <w:right w:val="none" w:sz="0" w:space="0" w:color="auto"/>
      </w:divBdr>
    </w:div>
    <w:div w:id="1759789653">
      <w:bodyDiv w:val="1"/>
      <w:marLeft w:val="0"/>
      <w:marRight w:val="0"/>
      <w:marTop w:val="0"/>
      <w:marBottom w:val="0"/>
      <w:divBdr>
        <w:top w:val="none" w:sz="0" w:space="0" w:color="auto"/>
        <w:left w:val="none" w:sz="0" w:space="0" w:color="auto"/>
        <w:bottom w:val="none" w:sz="0" w:space="0" w:color="auto"/>
        <w:right w:val="none" w:sz="0" w:space="0" w:color="auto"/>
      </w:divBdr>
    </w:div>
    <w:div w:id="1808157128">
      <w:bodyDiv w:val="1"/>
      <w:marLeft w:val="0"/>
      <w:marRight w:val="0"/>
      <w:marTop w:val="0"/>
      <w:marBottom w:val="0"/>
      <w:divBdr>
        <w:top w:val="none" w:sz="0" w:space="0" w:color="auto"/>
        <w:left w:val="none" w:sz="0" w:space="0" w:color="auto"/>
        <w:bottom w:val="none" w:sz="0" w:space="0" w:color="auto"/>
        <w:right w:val="none" w:sz="0" w:space="0" w:color="auto"/>
      </w:divBdr>
    </w:div>
    <w:div w:id="1848014015">
      <w:bodyDiv w:val="1"/>
      <w:marLeft w:val="0"/>
      <w:marRight w:val="0"/>
      <w:marTop w:val="0"/>
      <w:marBottom w:val="0"/>
      <w:divBdr>
        <w:top w:val="none" w:sz="0" w:space="0" w:color="auto"/>
        <w:left w:val="none" w:sz="0" w:space="0" w:color="auto"/>
        <w:bottom w:val="none" w:sz="0" w:space="0" w:color="auto"/>
        <w:right w:val="none" w:sz="0" w:space="0" w:color="auto"/>
      </w:divBdr>
    </w:div>
    <w:div w:id="1948196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yperlink" Target="http://www.ncbi.nlm.nih.gov/Structure/cdd/wrpsb.cgi" TargetMode="External"/><Relationship Id="rId7" Type="http://schemas.openxmlformats.org/officeDocument/2006/relationships/webSettings" Target="webSettings.xml"/><Relationship Id="rId12" Type="http://schemas.openxmlformats.org/officeDocument/2006/relationships/hyperlink" Target="http://www.ncbi.nlm.nih.gov/refseq/" TargetMode="External"/><Relationship Id="rId17" Type="http://schemas.openxmlformats.org/officeDocument/2006/relationships/hyperlink" Target="http://www.ncbi.nlm.nih.gov/sites/entrez?db=proteinclusters" TargetMode="External"/><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www.ncbi.nlm.nih.gov/genomes/prokhits.cgi"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cbi.nlm.nih.gov/COG/" TargetMode="External"/><Relationship Id="rId24" Type="http://schemas.openxmlformats.org/officeDocument/2006/relationships/image" Target="media/image6.png"/><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www.ncbi.nlm.nih.gov/pubmed/?term=9736608" TargetMode="External"/><Relationship Id="rId28" Type="http://schemas.openxmlformats.org/officeDocument/2006/relationships/theme" Target="theme/theme1.xml"/><Relationship Id="rId10" Type="http://schemas.openxmlformats.org/officeDocument/2006/relationships/hyperlink" Target="http://www.ncbi.nlm.nih.gov/refseq/" TargetMode="External"/><Relationship Id="rId19" Type="http://schemas.openxmlformats.org/officeDocument/2006/relationships/hyperlink" Target="ftp://ftp.ncbi.nih.gov/genomes/Bacteria/CLUST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hyperlink" Target="http://www.ncbi.nlm.nih.gov/sutils/protmap.cgi"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uitt\Documents\Manuscripts\Handbook2\handbook2e_v2013013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Description0 xmlns="2d25d3df-dff4-4c42-a3a2-826eb77380e8">Genome (resource) chapter</Description0>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318F61FFD1B3D4A87AD2EA53EF26884" ma:contentTypeVersion="1" ma:contentTypeDescription="Create a new document." ma:contentTypeScope="" ma:versionID="53cc2dab2381c0c8cefd45973d32d05e">
  <xsd:schema xmlns:xsd="http://www.w3.org/2001/XMLSchema" xmlns:p="http://schemas.microsoft.com/office/2006/metadata/properties" xmlns:ns2="2d25d3df-dff4-4c42-a3a2-826eb77380e8" targetNamespace="http://schemas.microsoft.com/office/2006/metadata/properties" ma:root="true" ma:fieldsID="41423fb7876d9f2e259d388a55ad7090" ns2:_="">
    <xsd:import namespace="2d25d3df-dff4-4c42-a3a2-826eb77380e8"/>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dms="http://schemas.microsoft.com/office/2006/documentManagement/types" targetNamespace="2d25d3df-dff4-4c42-a3a2-826eb77380e8" elementFormDefault="qualified">
    <xsd:import namespace="http://schemas.microsoft.com/office/2006/documentManagement/types"/>
    <xsd:element name="Description0" ma:index="8" nillable="true" ma:displayName="Description" ma:description="Description of the Contents of this Document" ma:internalName="Description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C056AF-5A2A-4B3F-99D9-2C76E2DD7834}">
  <ds:schemaRefs>
    <ds:schemaRef ds:uri="http://purl.org/dc/elements/1.1/"/>
    <ds:schemaRef ds:uri="http://purl.org/dc/terms/"/>
    <ds:schemaRef ds:uri="http://purl.org/dc/dcmitype/"/>
    <ds:schemaRef ds:uri="http://schemas.microsoft.com/office/2006/documentManagement/types"/>
    <ds:schemaRef ds:uri="2d25d3df-dff4-4c42-a3a2-826eb77380e8"/>
    <ds:schemaRef ds:uri="http://www.w3.org/XML/1998/namespace"/>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37D61F28-702F-40ED-B574-E019D6FAB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25d3df-dff4-4c42-a3a2-826eb77380e8"/>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AC3B8DE8-0750-48F4-B8A2-C78A6A201A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handbook2e_v20130131.dotx</Template>
  <TotalTime>5</TotalTime>
  <Pages>12</Pages>
  <Words>4406</Words>
  <Characters>26133</Characters>
  <Application>Microsoft Office Word</Application>
  <DocSecurity>0</DocSecurity>
  <Lines>217</Lines>
  <Paragraphs>60</Paragraphs>
  <ScaleCrop>false</ScaleCrop>
  <HeadingPairs>
    <vt:vector size="2" baseType="variant">
      <vt:variant>
        <vt:lpstr>Title</vt:lpstr>
      </vt:variant>
      <vt:variant>
        <vt:i4>1</vt:i4>
      </vt:variant>
    </vt:vector>
  </HeadingPairs>
  <TitlesOfParts>
    <vt:vector size="1" baseType="lpstr">
      <vt:lpstr>Authoring template for NCBI Handbook 2ed.</vt:lpstr>
    </vt:vector>
  </TitlesOfParts>
  <Company>NCBI/NLM/NIH</Company>
  <LinksUpToDate>false</LinksUpToDate>
  <CharactersWithSpaces>30479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Authoring template for NCBI Handbook 2ed.</dc:title>
  <dc:subject/>
  <dc:creator>Kim Pruitt</dc:creator>
  <cp:keywords/>
  <dc:description/>
  <cp:lastModifiedBy>Lathrop, Stacy (NIH/NLM/NCBI) [C]</cp:lastModifiedBy>
  <cp:revision>5</cp:revision>
  <cp:lastPrinted>2014-09-12T19:54:00Z</cp:lastPrinted>
  <dcterms:created xsi:type="dcterms:W3CDTF">2016-07-14T19:13:00Z</dcterms:created>
  <dcterms:modified xsi:type="dcterms:W3CDTF">2016-10-14T17:35:00Z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0x010100E318F61FFD1B3D4A87AD2EA53EF26884</vt:lpwstr>
  </property>
</Properties>
</file>